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142"/>
        <w:gridCol w:w="3314"/>
        <w:gridCol w:w="6008"/>
      </w:tblGrid>
      <w:tr w:rsidR="00C119A2" w:rsidRPr="007D7E0B" w14:paraId="03F01C12" w14:textId="77777777" w:rsidTr="003634DA">
        <w:tc>
          <w:tcPr>
            <w:tcW w:w="9464" w:type="dxa"/>
            <w:gridSpan w:val="3"/>
            <w:tcBorders>
              <w:bottom w:val="single" w:sz="18" w:space="0" w:color="auto"/>
            </w:tcBorders>
          </w:tcPr>
          <w:p w14:paraId="62E94A00" w14:textId="77777777" w:rsidR="00C119A2" w:rsidRDefault="00C119A2" w:rsidP="00825AC5">
            <w:pPr>
              <w:pStyle w:val="Infotext"/>
              <w:jc w:val="both"/>
              <w:rPr>
                <w:rFonts w:ascii="Arial Black" w:hAnsi="Arial Black"/>
                <w:color w:val="999999"/>
                <w:sz w:val="36"/>
                <w:szCs w:val="36"/>
              </w:rPr>
            </w:pPr>
          </w:p>
          <w:p w14:paraId="2AC8CC06" w14:textId="77777777" w:rsidR="00C119A2" w:rsidRDefault="00BE375D" w:rsidP="00825AC5">
            <w:pPr>
              <w:pStyle w:val="Infotext"/>
              <w:jc w:val="both"/>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0DA4899" wp14:editId="012007DA">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447DCD7" w14:textId="77777777" w:rsidR="00C119A2" w:rsidRDefault="00C119A2" w:rsidP="00825AC5">
            <w:pPr>
              <w:pStyle w:val="Infotext"/>
              <w:jc w:val="both"/>
              <w:rPr>
                <w:rFonts w:ascii="Arial Black" w:hAnsi="Arial Black" w:cs="Arial"/>
                <w:sz w:val="36"/>
                <w:szCs w:val="36"/>
              </w:rPr>
            </w:pPr>
          </w:p>
        </w:tc>
      </w:tr>
      <w:tr w:rsidR="00333FAA" w14:paraId="04BC8DAD" w14:textId="77777777" w:rsidTr="003634DA">
        <w:tc>
          <w:tcPr>
            <w:tcW w:w="3456" w:type="dxa"/>
            <w:gridSpan w:val="2"/>
            <w:tcBorders>
              <w:bottom w:val="single" w:sz="18" w:space="0" w:color="auto"/>
            </w:tcBorders>
          </w:tcPr>
          <w:p w14:paraId="2D718AAC" w14:textId="77777777" w:rsidR="00333FAA" w:rsidRPr="00B805DB" w:rsidRDefault="00333FAA" w:rsidP="00825AC5">
            <w:pPr>
              <w:pStyle w:val="Infotext"/>
              <w:jc w:val="both"/>
              <w:rPr>
                <w:rFonts w:ascii="Arial Black" w:hAnsi="Arial Black"/>
                <w:color w:val="999999"/>
                <w:sz w:val="36"/>
                <w:szCs w:val="36"/>
              </w:rPr>
            </w:pPr>
            <w:r w:rsidRPr="00B805DB">
              <w:rPr>
                <w:rFonts w:ascii="Arial Black" w:hAnsi="Arial Black"/>
                <w:color w:val="999999"/>
                <w:sz w:val="36"/>
                <w:szCs w:val="36"/>
              </w:rPr>
              <w:t>REPORT FOR:</w:t>
            </w:r>
          </w:p>
          <w:p w14:paraId="77E1C1CC" w14:textId="77777777" w:rsidR="00333FAA" w:rsidRPr="00B805DB" w:rsidRDefault="00333FAA" w:rsidP="00825AC5">
            <w:pPr>
              <w:pStyle w:val="Infotext"/>
              <w:jc w:val="both"/>
              <w:rPr>
                <w:rFonts w:ascii="Arial Black" w:hAnsi="Arial Black" w:cs="Arial"/>
                <w:sz w:val="36"/>
                <w:szCs w:val="36"/>
              </w:rPr>
            </w:pPr>
          </w:p>
        </w:tc>
        <w:tc>
          <w:tcPr>
            <w:tcW w:w="6008" w:type="dxa"/>
            <w:tcBorders>
              <w:bottom w:val="single" w:sz="18" w:space="0" w:color="auto"/>
            </w:tcBorders>
          </w:tcPr>
          <w:p w14:paraId="2AD49CBB" w14:textId="77777777" w:rsidR="00333FAA" w:rsidRPr="005E3A10" w:rsidRDefault="00333FAA" w:rsidP="00825AC5">
            <w:pPr>
              <w:jc w:val="both"/>
              <w:rPr>
                <w:rFonts w:ascii="Arial Black" w:hAnsi="Arial Black" w:cs="Arial"/>
                <w:sz w:val="36"/>
                <w:szCs w:val="36"/>
              </w:rPr>
            </w:pPr>
            <w:r w:rsidRPr="005E3A10">
              <w:rPr>
                <w:rFonts w:ascii="Arial Black" w:hAnsi="Arial Black" w:cs="Arial"/>
                <w:sz w:val="36"/>
                <w:szCs w:val="36"/>
              </w:rPr>
              <w:t>CABINET</w:t>
            </w:r>
          </w:p>
          <w:p w14:paraId="398D81E2" w14:textId="77777777" w:rsidR="00333FAA" w:rsidRPr="005E3A10" w:rsidRDefault="00333FAA" w:rsidP="00825AC5">
            <w:pPr>
              <w:jc w:val="both"/>
              <w:rPr>
                <w:rFonts w:ascii="Arial Black" w:hAnsi="Arial Black" w:cs="Arial"/>
                <w:szCs w:val="24"/>
              </w:rPr>
            </w:pPr>
          </w:p>
        </w:tc>
      </w:tr>
      <w:tr w:rsidR="00333FAA" w14:paraId="09E543AA" w14:textId="77777777" w:rsidTr="003634DA">
        <w:tc>
          <w:tcPr>
            <w:tcW w:w="3456" w:type="dxa"/>
            <w:gridSpan w:val="2"/>
            <w:tcBorders>
              <w:top w:val="single" w:sz="18" w:space="0" w:color="auto"/>
            </w:tcBorders>
          </w:tcPr>
          <w:p w14:paraId="5093DFC4" w14:textId="77777777" w:rsidR="00333FAA" w:rsidRPr="00C13A5F" w:rsidRDefault="00333FAA" w:rsidP="00825AC5">
            <w:pPr>
              <w:pStyle w:val="Infotext"/>
              <w:jc w:val="both"/>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825AC5">
            <w:pPr>
              <w:pStyle w:val="Infotext"/>
              <w:jc w:val="both"/>
              <w:rPr>
                <w:rFonts w:ascii="Arial Black" w:hAnsi="Arial Black" w:cs="Arial"/>
              </w:rPr>
            </w:pPr>
          </w:p>
        </w:tc>
        <w:tc>
          <w:tcPr>
            <w:tcW w:w="6008" w:type="dxa"/>
            <w:tcBorders>
              <w:top w:val="single" w:sz="18" w:space="0" w:color="auto"/>
            </w:tcBorders>
          </w:tcPr>
          <w:p w14:paraId="10F108A4" w14:textId="362312C4" w:rsidR="00333FAA" w:rsidRPr="005E3A10" w:rsidRDefault="00C9462C" w:rsidP="00825AC5">
            <w:pPr>
              <w:jc w:val="both"/>
              <w:rPr>
                <w:rFonts w:cs="Arial"/>
                <w:szCs w:val="24"/>
              </w:rPr>
            </w:pPr>
            <w:r>
              <w:rPr>
                <w:rFonts w:cs="Arial"/>
                <w:szCs w:val="24"/>
              </w:rPr>
              <w:t>0</w:t>
            </w:r>
            <w:r w:rsidR="00BE07A4">
              <w:rPr>
                <w:rFonts w:cs="Arial"/>
                <w:szCs w:val="24"/>
              </w:rPr>
              <w:t>9</w:t>
            </w:r>
            <w:r w:rsidR="00D2502D">
              <w:rPr>
                <w:rFonts w:cs="Arial"/>
                <w:szCs w:val="24"/>
              </w:rPr>
              <w:t xml:space="preserve"> January</w:t>
            </w:r>
            <w:r w:rsidR="00D66382">
              <w:rPr>
                <w:rFonts w:cs="Arial"/>
                <w:szCs w:val="24"/>
              </w:rPr>
              <w:t xml:space="preserve"> 20</w:t>
            </w:r>
            <w:r w:rsidR="00D2502D">
              <w:rPr>
                <w:rFonts w:cs="Arial"/>
                <w:szCs w:val="24"/>
              </w:rPr>
              <w:t>20</w:t>
            </w:r>
          </w:p>
        </w:tc>
      </w:tr>
      <w:tr w:rsidR="00333FAA" w14:paraId="41E5B59A" w14:textId="77777777" w:rsidTr="003634DA">
        <w:tc>
          <w:tcPr>
            <w:tcW w:w="3456" w:type="dxa"/>
            <w:gridSpan w:val="2"/>
          </w:tcPr>
          <w:p w14:paraId="3B617A32" w14:textId="77777777" w:rsidR="00333FAA" w:rsidRPr="00C13A5F" w:rsidRDefault="00333FAA" w:rsidP="00825AC5">
            <w:pPr>
              <w:pStyle w:val="Infotext"/>
              <w:jc w:val="both"/>
              <w:rPr>
                <w:rFonts w:ascii="Arial Black" w:hAnsi="Arial Black" w:cs="Arial"/>
              </w:rPr>
            </w:pPr>
            <w:r w:rsidRPr="00C13A5F">
              <w:rPr>
                <w:rFonts w:ascii="Arial Black" w:hAnsi="Arial Black" w:cs="Arial"/>
              </w:rPr>
              <w:t>Subject:</w:t>
            </w:r>
          </w:p>
          <w:p w14:paraId="259994CD" w14:textId="77777777" w:rsidR="00333FAA" w:rsidRPr="00C13A5F" w:rsidRDefault="00333FAA" w:rsidP="00825AC5">
            <w:pPr>
              <w:pStyle w:val="Infotext"/>
              <w:jc w:val="both"/>
              <w:rPr>
                <w:rFonts w:ascii="Arial Black" w:hAnsi="Arial Black"/>
              </w:rPr>
            </w:pPr>
          </w:p>
        </w:tc>
        <w:tc>
          <w:tcPr>
            <w:tcW w:w="6008" w:type="dxa"/>
          </w:tcPr>
          <w:p w14:paraId="74EF89BC" w14:textId="721B97D3" w:rsidR="00333FAA" w:rsidRDefault="000645AE" w:rsidP="00825AC5">
            <w:pPr>
              <w:jc w:val="both"/>
              <w:rPr>
                <w:rFonts w:cs="Arial"/>
                <w:szCs w:val="24"/>
              </w:rPr>
            </w:pPr>
            <w:r>
              <w:rPr>
                <w:rFonts w:cs="Arial"/>
                <w:szCs w:val="24"/>
              </w:rPr>
              <w:t xml:space="preserve"> </w:t>
            </w:r>
            <w:r w:rsidR="002E1DF4">
              <w:rPr>
                <w:rFonts w:cs="Arial"/>
                <w:szCs w:val="24"/>
              </w:rPr>
              <w:t xml:space="preserve">Revenue and Capital </w:t>
            </w:r>
            <w:r w:rsidR="00675F21">
              <w:rPr>
                <w:rFonts w:cs="Arial"/>
                <w:szCs w:val="24"/>
              </w:rPr>
              <w:t>Monitoring</w:t>
            </w:r>
            <w:r w:rsidR="009528E2">
              <w:rPr>
                <w:rFonts w:cs="Arial"/>
                <w:szCs w:val="24"/>
              </w:rPr>
              <w:t xml:space="preserve"> 20</w:t>
            </w:r>
            <w:r w:rsidR="00675F21">
              <w:rPr>
                <w:rFonts w:cs="Arial"/>
                <w:szCs w:val="24"/>
              </w:rPr>
              <w:t>19</w:t>
            </w:r>
            <w:r w:rsidR="009528E2">
              <w:rPr>
                <w:rFonts w:cs="Arial"/>
                <w:szCs w:val="24"/>
              </w:rPr>
              <w:t>/20</w:t>
            </w:r>
            <w:r w:rsidR="00675F21">
              <w:rPr>
                <w:rFonts w:cs="Arial"/>
                <w:szCs w:val="24"/>
              </w:rPr>
              <w:t xml:space="preserve"> </w:t>
            </w:r>
            <w:r w:rsidR="0008678F">
              <w:rPr>
                <w:rFonts w:cs="Arial"/>
                <w:szCs w:val="24"/>
              </w:rPr>
              <w:t>- as</w:t>
            </w:r>
            <w:r w:rsidR="002E1DF4">
              <w:rPr>
                <w:rFonts w:cs="Arial"/>
                <w:szCs w:val="24"/>
              </w:rPr>
              <w:t xml:space="preserve"> at Quarter </w:t>
            </w:r>
            <w:r w:rsidR="00D66382">
              <w:rPr>
                <w:rFonts w:cs="Arial"/>
                <w:szCs w:val="24"/>
              </w:rPr>
              <w:t>2</w:t>
            </w:r>
            <w:r>
              <w:rPr>
                <w:rFonts w:cs="Arial"/>
                <w:szCs w:val="24"/>
              </w:rPr>
              <w:t xml:space="preserve"> (30</w:t>
            </w:r>
            <w:r w:rsidRPr="00916452">
              <w:rPr>
                <w:rFonts w:cs="Arial"/>
                <w:szCs w:val="24"/>
                <w:vertAlign w:val="superscript"/>
              </w:rPr>
              <w:t>th</w:t>
            </w:r>
            <w:r>
              <w:rPr>
                <w:rFonts w:cs="Arial"/>
                <w:szCs w:val="24"/>
              </w:rPr>
              <w:t xml:space="preserve"> </w:t>
            </w:r>
            <w:r w:rsidR="00D66382">
              <w:rPr>
                <w:rFonts w:cs="Arial"/>
                <w:szCs w:val="24"/>
              </w:rPr>
              <w:t>September</w:t>
            </w:r>
            <w:r>
              <w:rPr>
                <w:rFonts w:cs="Arial"/>
                <w:szCs w:val="24"/>
              </w:rPr>
              <w:t xml:space="preserve"> 2019)</w:t>
            </w:r>
          </w:p>
          <w:p w14:paraId="0FEE3EA3" w14:textId="34928B1C" w:rsidR="00675F21" w:rsidRPr="005E3A10" w:rsidRDefault="00675F21" w:rsidP="00825AC5">
            <w:pPr>
              <w:jc w:val="both"/>
              <w:rPr>
                <w:rFonts w:cs="Arial"/>
                <w:szCs w:val="24"/>
              </w:rPr>
            </w:pPr>
          </w:p>
        </w:tc>
      </w:tr>
      <w:tr w:rsidR="00333FAA" w14:paraId="408A06A2" w14:textId="77777777" w:rsidTr="003634DA">
        <w:tc>
          <w:tcPr>
            <w:tcW w:w="3456" w:type="dxa"/>
            <w:gridSpan w:val="2"/>
          </w:tcPr>
          <w:p w14:paraId="2474AC3D" w14:textId="77777777" w:rsidR="00333FAA" w:rsidRPr="00C13A5F" w:rsidRDefault="00333FAA" w:rsidP="00825AC5">
            <w:pPr>
              <w:pStyle w:val="Infotext"/>
              <w:jc w:val="both"/>
              <w:rPr>
                <w:rFonts w:ascii="Arial Black" w:hAnsi="Arial Black" w:cs="Arial"/>
              </w:rPr>
            </w:pPr>
            <w:r w:rsidRPr="00C13A5F">
              <w:rPr>
                <w:rFonts w:ascii="Arial Black" w:hAnsi="Arial Black" w:cs="Arial"/>
              </w:rPr>
              <w:t xml:space="preserve">Key Decision: </w:t>
            </w:r>
          </w:p>
          <w:p w14:paraId="2B006B17" w14:textId="77777777" w:rsidR="00333FAA" w:rsidRPr="00C13A5F" w:rsidRDefault="00333FAA" w:rsidP="00825AC5">
            <w:pPr>
              <w:pStyle w:val="Infotext"/>
              <w:jc w:val="both"/>
              <w:rPr>
                <w:rFonts w:ascii="Arial Black" w:hAnsi="Arial Black" w:cs="Arial"/>
              </w:rPr>
            </w:pPr>
          </w:p>
        </w:tc>
        <w:tc>
          <w:tcPr>
            <w:tcW w:w="6008" w:type="dxa"/>
          </w:tcPr>
          <w:p w14:paraId="4A191D68" w14:textId="77777777" w:rsidR="00333FAA" w:rsidRPr="005E3A10" w:rsidRDefault="001C7E35" w:rsidP="00825AC5">
            <w:pPr>
              <w:pStyle w:val="Infotext"/>
              <w:jc w:val="both"/>
              <w:rPr>
                <w:rFonts w:cs="Arial"/>
                <w:szCs w:val="24"/>
              </w:rPr>
            </w:pPr>
            <w:r w:rsidRPr="005E3A10">
              <w:rPr>
                <w:rFonts w:cs="Arial"/>
                <w:sz w:val="24"/>
                <w:szCs w:val="24"/>
              </w:rPr>
              <w:t xml:space="preserve">Yes </w:t>
            </w:r>
          </w:p>
        </w:tc>
      </w:tr>
      <w:tr w:rsidR="001C7E35" w14:paraId="2D70C3B6" w14:textId="77777777" w:rsidTr="003634DA">
        <w:tc>
          <w:tcPr>
            <w:tcW w:w="3456" w:type="dxa"/>
            <w:gridSpan w:val="2"/>
          </w:tcPr>
          <w:p w14:paraId="0A2D4541" w14:textId="77777777" w:rsidR="001C7E35" w:rsidRPr="00C13A5F" w:rsidRDefault="001C7E35" w:rsidP="00825AC5">
            <w:pPr>
              <w:pStyle w:val="Infotext"/>
              <w:jc w:val="both"/>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825AC5">
            <w:pPr>
              <w:pStyle w:val="Infotext"/>
              <w:jc w:val="both"/>
              <w:rPr>
                <w:rFonts w:ascii="Arial Black" w:hAnsi="Arial Black" w:cs="Arial"/>
              </w:rPr>
            </w:pPr>
          </w:p>
        </w:tc>
        <w:tc>
          <w:tcPr>
            <w:tcW w:w="6008" w:type="dxa"/>
          </w:tcPr>
          <w:p w14:paraId="2AE6E4A0" w14:textId="77777777" w:rsidR="001C7E35" w:rsidRPr="005E3A10" w:rsidRDefault="005641E0" w:rsidP="00825AC5">
            <w:pPr>
              <w:pStyle w:val="Infotext"/>
              <w:jc w:val="both"/>
              <w:rPr>
                <w:rFonts w:cs="Arial"/>
                <w:sz w:val="24"/>
                <w:szCs w:val="24"/>
              </w:rPr>
            </w:pPr>
            <w:r w:rsidRPr="005641E0">
              <w:rPr>
                <w:rFonts w:cs="Arial"/>
                <w:sz w:val="24"/>
                <w:szCs w:val="24"/>
              </w:rPr>
              <w:t xml:space="preserve">Dawn Calvert, Director of Finance  </w:t>
            </w:r>
          </w:p>
          <w:p w14:paraId="76DD9381" w14:textId="77777777" w:rsidR="001C7E35" w:rsidRPr="005E3A10" w:rsidRDefault="001C7E35" w:rsidP="00825AC5">
            <w:pPr>
              <w:pStyle w:val="Infotext"/>
              <w:jc w:val="both"/>
              <w:rPr>
                <w:rFonts w:cs="Arial"/>
                <w:sz w:val="24"/>
                <w:szCs w:val="24"/>
              </w:rPr>
            </w:pPr>
          </w:p>
        </w:tc>
      </w:tr>
      <w:tr w:rsidR="001C7E35" w14:paraId="3CC40C92" w14:textId="77777777" w:rsidTr="003634DA">
        <w:tc>
          <w:tcPr>
            <w:tcW w:w="3456" w:type="dxa"/>
            <w:gridSpan w:val="2"/>
          </w:tcPr>
          <w:p w14:paraId="5A10DCBB" w14:textId="77777777" w:rsidR="001C7E35" w:rsidRPr="00DB6C3D" w:rsidRDefault="001C7E35">
            <w:pPr>
              <w:pStyle w:val="Infotext"/>
              <w:jc w:val="both"/>
              <w:rPr>
                <w:rFonts w:ascii="Arial Black" w:hAnsi="Arial Black"/>
              </w:rPr>
            </w:pPr>
            <w:r w:rsidRPr="00DB6C3D">
              <w:rPr>
                <w:rFonts w:ascii="Arial Black" w:hAnsi="Arial Black"/>
              </w:rPr>
              <w:t>Portfolio Holder:</w:t>
            </w:r>
          </w:p>
          <w:p w14:paraId="53F0D3F0" w14:textId="77777777" w:rsidR="001C7E35" w:rsidRPr="00C13A5F" w:rsidRDefault="001C7E35">
            <w:pPr>
              <w:pStyle w:val="BodyText"/>
              <w:jc w:val="both"/>
              <w:rPr>
                <w:rFonts w:ascii="Arial Black" w:hAnsi="Arial Black"/>
              </w:rPr>
            </w:pPr>
          </w:p>
        </w:tc>
        <w:tc>
          <w:tcPr>
            <w:tcW w:w="6008" w:type="dxa"/>
          </w:tcPr>
          <w:p w14:paraId="58FF8E81" w14:textId="35AEE734" w:rsidR="005641E0" w:rsidRPr="002E1DF4" w:rsidRDefault="005641E0">
            <w:pPr>
              <w:pStyle w:val="Infotext"/>
              <w:jc w:val="both"/>
              <w:rPr>
                <w:rFonts w:cs="Arial"/>
                <w:sz w:val="24"/>
                <w:szCs w:val="24"/>
              </w:rPr>
            </w:pPr>
            <w:r w:rsidRPr="002E1DF4">
              <w:rPr>
                <w:rFonts w:cs="Arial"/>
                <w:sz w:val="24"/>
                <w:szCs w:val="24"/>
              </w:rPr>
              <w:t>Councillor Adam Swersky, Portfolio Holder for Finance and Resources</w:t>
            </w:r>
            <w:r w:rsidR="00DE67B7">
              <w:rPr>
                <w:rFonts w:cs="Arial"/>
                <w:sz w:val="24"/>
                <w:szCs w:val="24"/>
              </w:rPr>
              <w:t>.</w:t>
            </w:r>
          </w:p>
          <w:p w14:paraId="5F0ACF6A" w14:textId="4C373BA3" w:rsidR="001C7E35" w:rsidRPr="005E3A10" w:rsidRDefault="001C7E35">
            <w:pPr>
              <w:pStyle w:val="Infotext"/>
              <w:jc w:val="both"/>
              <w:rPr>
                <w:rFonts w:cs="Arial"/>
                <w:color w:val="FF0000"/>
                <w:sz w:val="24"/>
                <w:szCs w:val="24"/>
              </w:rPr>
            </w:pPr>
          </w:p>
        </w:tc>
      </w:tr>
      <w:tr w:rsidR="001C7E35" w14:paraId="15CDEAEB" w14:textId="77777777" w:rsidTr="003634DA">
        <w:tc>
          <w:tcPr>
            <w:tcW w:w="3456" w:type="dxa"/>
            <w:gridSpan w:val="2"/>
          </w:tcPr>
          <w:p w14:paraId="48230891" w14:textId="77777777" w:rsidR="001C7E35" w:rsidRPr="00DB6C3D" w:rsidRDefault="001C7E35">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pPr>
              <w:pStyle w:val="BodyText"/>
              <w:jc w:val="both"/>
              <w:rPr>
                <w:rFonts w:ascii="Arial Black" w:hAnsi="Arial Black"/>
              </w:rPr>
            </w:pPr>
          </w:p>
        </w:tc>
        <w:tc>
          <w:tcPr>
            <w:tcW w:w="6008" w:type="dxa"/>
          </w:tcPr>
          <w:p w14:paraId="1A3F9F45" w14:textId="7B51A1DE" w:rsidR="001C7E35" w:rsidRPr="005E3A10" w:rsidRDefault="001C7E35">
            <w:pPr>
              <w:pStyle w:val="Infotext"/>
              <w:jc w:val="both"/>
              <w:rPr>
                <w:rFonts w:cs="Arial"/>
                <w:color w:val="FF0000"/>
                <w:sz w:val="24"/>
                <w:szCs w:val="24"/>
              </w:rPr>
            </w:pPr>
            <w:r w:rsidRPr="005E3A10">
              <w:rPr>
                <w:rFonts w:cs="Arial"/>
                <w:sz w:val="24"/>
                <w:szCs w:val="24"/>
              </w:rPr>
              <w:t xml:space="preserve"> No</w:t>
            </w:r>
          </w:p>
        </w:tc>
      </w:tr>
      <w:tr w:rsidR="001C7E35" w14:paraId="08EA475F" w14:textId="77777777" w:rsidTr="003634DA">
        <w:tc>
          <w:tcPr>
            <w:tcW w:w="3456" w:type="dxa"/>
            <w:gridSpan w:val="2"/>
          </w:tcPr>
          <w:p w14:paraId="17B9EC7A" w14:textId="77777777" w:rsidR="001C7E35" w:rsidRPr="00DB6C3D" w:rsidRDefault="001C7E35">
            <w:pPr>
              <w:pStyle w:val="Infotext"/>
              <w:jc w:val="both"/>
              <w:rPr>
                <w:rFonts w:ascii="Arial Black" w:hAnsi="Arial Black"/>
              </w:rPr>
            </w:pPr>
            <w:r w:rsidRPr="00DB6C3D">
              <w:rPr>
                <w:rFonts w:ascii="Arial Black" w:hAnsi="Arial Black"/>
              </w:rPr>
              <w:t>Decision subject to Call-in:</w:t>
            </w:r>
          </w:p>
          <w:p w14:paraId="52B1B326" w14:textId="77777777" w:rsidR="001C7E35" w:rsidRPr="00C13A5F" w:rsidRDefault="001C7E35">
            <w:pPr>
              <w:pStyle w:val="BodyText"/>
              <w:jc w:val="both"/>
              <w:rPr>
                <w:rFonts w:ascii="Arial Black" w:hAnsi="Arial Black"/>
              </w:rPr>
            </w:pPr>
          </w:p>
        </w:tc>
        <w:tc>
          <w:tcPr>
            <w:tcW w:w="6008" w:type="dxa"/>
          </w:tcPr>
          <w:p w14:paraId="0632A6CE" w14:textId="77777777" w:rsidR="005641E0" w:rsidRPr="005E3A10" w:rsidRDefault="001C7E35">
            <w:pPr>
              <w:pStyle w:val="Infotext"/>
              <w:jc w:val="both"/>
              <w:rPr>
                <w:rFonts w:cs="Arial"/>
                <w:szCs w:val="24"/>
              </w:rPr>
            </w:pPr>
            <w:r w:rsidRPr="005E3A10">
              <w:rPr>
                <w:rFonts w:cs="Arial"/>
                <w:sz w:val="24"/>
                <w:szCs w:val="24"/>
              </w:rPr>
              <w:t xml:space="preserve">Yes </w:t>
            </w:r>
          </w:p>
          <w:p w14:paraId="0BE5C604" w14:textId="77777777" w:rsidR="00714BEE" w:rsidRPr="005E3A10" w:rsidRDefault="00714BEE">
            <w:pPr>
              <w:jc w:val="both"/>
              <w:rPr>
                <w:rFonts w:cs="Arial"/>
                <w:szCs w:val="24"/>
              </w:rPr>
            </w:pPr>
          </w:p>
        </w:tc>
      </w:tr>
      <w:tr w:rsidR="001C7E35" w14:paraId="0F8EADD0" w14:textId="77777777" w:rsidTr="003634DA">
        <w:tc>
          <w:tcPr>
            <w:tcW w:w="3456" w:type="dxa"/>
            <w:gridSpan w:val="2"/>
          </w:tcPr>
          <w:p w14:paraId="1EC0B8AB" w14:textId="77777777" w:rsidR="001C7E35" w:rsidRDefault="001C7E35">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pPr>
              <w:pStyle w:val="Infotext"/>
              <w:jc w:val="both"/>
              <w:rPr>
                <w:rFonts w:ascii="Arial Black" w:hAnsi="Arial Black" w:cs="Arial"/>
              </w:rPr>
            </w:pPr>
          </w:p>
        </w:tc>
        <w:tc>
          <w:tcPr>
            <w:tcW w:w="6008" w:type="dxa"/>
          </w:tcPr>
          <w:p w14:paraId="5E7053E8" w14:textId="77777777" w:rsidR="005641E0" w:rsidRPr="00307F76" w:rsidRDefault="005641E0">
            <w:pPr>
              <w:jc w:val="both"/>
              <w:rPr>
                <w:rFonts w:cs="Arial"/>
                <w:b/>
                <w:color w:val="FF0000"/>
                <w:szCs w:val="24"/>
              </w:rPr>
            </w:pPr>
            <w:r>
              <w:rPr>
                <w:rFonts w:cs="Arial"/>
                <w:szCs w:val="24"/>
              </w:rPr>
              <w:t>All</w:t>
            </w:r>
            <w:r w:rsidR="00F370E5">
              <w:rPr>
                <w:rFonts w:cs="Arial"/>
                <w:szCs w:val="24"/>
              </w:rPr>
              <w:t xml:space="preserve"> wards</w:t>
            </w:r>
          </w:p>
          <w:p w14:paraId="164FD442" w14:textId="77777777" w:rsidR="00307F76" w:rsidRPr="00307F76" w:rsidRDefault="00307F76">
            <w:pPr>
              <w:jc w:val="both"/>
              <w:rPr>
                <w:rFonts w:cs="Arial"/>
                <w:b/>
                <w:color w:val="FF0000"/>
                <w:szCs w:val="24"/>
              </w:rPr>
            </w:pPr>
          </w:p>
        </w:tc>
      </w:tr>
      <w:tr w:rsidR="001C7E35" w:rsidRPr="00CE48E2" w14:paraId="19A099B8" w14:textId="77777777" w:rsidTr="003634DA">
        <w:tc>
          <w:tcPr>
            <w:tcW w:w="3456" w:type="dxa"/>
            <w:gridSpan w:val="2"/>
          </w:tcPr>
          <w:p w14:paraId="6FAEC320" w14:textId="77777777" w:rsidR="001C7E35" w:rsidRPr="00C13A5F" w:rsidRDefault="001C7E35">
            <w:pPr>
              <w:pStyle w:val="Infotext"/>
              <w:jc w:val="both"/>
              <w:rPr>
                <w:rFonts w:ascii="Arial Black" w:hAnsi="Arial Black" w:cs="Arial"/>
              </w:rPr>
            </w:pPr>
            <w:r w:rsidRPr="00C13A5F">
              <w:rPr>
                <w:rFonts w:ascii="Arial Black" w:hAnsi="Arial Black" w:cs="Arial"/>
              </w:rPr>
              <w:t>Enclosures:</w:t>
            </w:r>
          </w:p>
          <w:p w14:paraId="013D45E7" w14:textId="77777777" w:rsidR="001C7E35" w:rsidRDefault="001C7E35">
            <w:pPr>
              <w:pStyle w:val="Infotext"/>
              <w:jc w:val="both"/>
              <w:rPr>
                <w:rFonts w:ascii="Arial Black" w:hAnsi="Arial Black" w:cs="Arial"/>
              </w:rPr>
            </w:pPr>
          </w:p>
          <w:p w14:paraId="26AF531C" w14:textId="77777777" w:rsidR="00B937A0" w:rsidRDefault="00B937A0">
            <w:pPr>
              <w:pStyle w:val="Infotext"/>
              <w:jc w:val="both"/>
              <w:rPr>
                <w:rFonts w:ascii="Arial Black" w:hAnsi="Arial Black" w:cs="Arial"/>
              </w:rPr>
            </w:pPr>
          </w:p>
          <w:p w14:paraId="336C08FB" w14:textId="77777777" w:rsidR="00B937A0" w:rsidRDefault="00B937A0">
            <w:pPr>
              <w:pStyle w:val="Infotext"/>
              <w:jc w:val="both"/>
              <w:rPr>
                <w:rFonts w:ascii="Arial Black" w:hAnsi="Arial Black" w:cs="Arial"/>
              </w:rPr>
            </w:pPr>
          </w:p>
          <w:p w14:paraId="52A1625B" w14:textId="77777777" w:rsidR="00B937A0" w:rsidRDefault="00B937A0">
            <w:pPr>
              <w:pStyle w:val="Infotext"/>
              <w:jc w:val="both"/>
              <w:rPr>
                <w:rFonts w:ascii="Arial Black" w:hAnsi="Arial Black" w:cs="Arial"/>
              </w:rPr>
            </w:pPr>
          </w:p>
          <w:p w14:paraId="14472519" w14:textId="77777777" w:rsidR="00B937A0" w:rsidRDefault="00B937A0">
            <w:pPr>
              <w:pStyle w:val="Infotext"/>
              <w:jc w:val="both"/>
              <w:rPr>
                <w:rFonts w:ascii="Arial Black" w:hAnsi="Arial Black" w:cs="Arial"/>
              </w:rPr>
            </w:pPr>
          </w:p>
          <w:p w14:paraId="0866FEC3" w14:textId="77777777" w:rsidR="00B937A0" w:rsidRDefault="00B937A0">
            <w:pPr>
              <w:pStyle w:val="Infotext"/>
              <w:jc w:val="both"/>
              <w:rPr>
                <w:rFonts w:ascii="Arial Black" w:hAnsi="Arial Black" w:cs="Arial"/>
              </w:rPr>
            </w:pPr>
          </w:p>
          <w:p w14:paraId="724827AC" w14:textId="77777777" w:rsidR="00B937A0" w:rsidRDefault="00B937A0">
            <w:pPr>
              <w:pStyle w:val="Infotext"/>
              <w:jc w:val="both"/>
              <w:rPr>
                <w:rFonts w:ascii="Arial Black" w:hAnsi="Arial Black" w:cs="Arial"/>
              </w:rPr>
            </w:pPr>
          </w:p>
          <w:p w14:paraId="5526F176" w14:textId="77777777" w:rsidR="00B937A0" w:rsidRDefault="00B937A0">
            <w:pPr>
              <w:pStyle w:val="Infotext"/>
              <w:jc w:val="both"/>
              <w:rPr>
                <w:rFonts w:ascii="Arial Black" w:hAnsi="Arial Black" w:cs="Arial"/>
              </w:rPr>
            </w:pPr>
          </w:p>
          <w:p w14:paraId="520A1EFF" w14:textId="77777777" w:rsidR="00B937A0" w:rsidRDefault="00B937A0">
            <w:pPr>
              <w:pStyle w:val="Infotext"/>
              <w:jc w:val="both"/>
              <w:rPr>
                <w:rFonts w:ascii="Arial Black" w:hAnsi="Arial Black" w:cs="Arial"/>
              </w:rPr>
            </w:pPr>
          </w:p>
          <w:p w14:paraId="69540263" w14:textId="77777777" w:rsidR="00B937A0" w:rsidRDefault="00B937A0">
            <w:pPr>
              <w:pStyle w:val="Infotext"/>
              <w:jc w:val="both"/>
              <w:rPr>
                <w:rFonts w:ascii="Arial Black" w:hAnsi="Arial Black" w:cs="Arial"/>
              </w:rPr>
            </w:pPr>
          </w:p>
          <w:p w14:paraId="1E80962B" w14:textId="77777777" w:rsidR="00B937A0" w:rsidRPr="00C13A5F" w:rsidRDefault="00B937A0">
            <w:pPr>
              <w:pStyle w:val="Infotext"/>
              <w:jc w:val="both"/>
              <w:rPr>
                <w:rFonts w:ascii="Arial Black" w:hAnsi="Arial Black" w:cs="Arial"/>
              </w:rPr>
            </w:pPr>
          </w:p>
        </w:tc>
        <w:tc>
          <w:tcPr>
            <w:tcW w:w="6008" w:type="dxa"/>
          </w:tcPr>
          <w:p w14:paraId="14BB01CF" w14:textId="332BE8AC" w:rsidR="00F370E5" w:rsidRDefault="00F370E5">
            <w:pPr>
              <w:jc w:val="both"/>
              <w:rPr>
                <w:rFonts w:cs="Arial"/>
                <w:szCs w:val="24"/>
              </w:rPr>
            </w:pPr>
            <w:r>
              <w:rPr>
                <w:rFonts w:cs="Arial"/>
              </w:rPr>
              <w:t>Appendix 1</w:t>
            </w:r>
            <w:r w:rsidR="006F61E1">
              <w:rPr>
                <w:rFonts w:cs="Arial"/>
              </w:rPr>
              <w:t xml:space="preserve"> -</w:t>
            </w:r>
            <w:r>
              <w:rPr>
                <w:rFonts w:cs="Arial"/>
              </w:rPr>
              <w:t xml:space="preserve"> </w:t>
            </w:r>
            <w:r w:rsidR="006F61E1">
              <w:rPr>
                <w:rFonts w:cs="Arial"/>
              </w:rPr>
              <w:t xml:space="preserve">Summary 2019/20 </w:t>
            </w:r>
            <w:r>
              <w:rPr>
                <w:rFonts w:cs="Arial"/>
                <w:szCs w:val="24"/>
              </w:rPr>
              <w:t>Revenue Budget</w:t>
            </w:r>
            <w:r w:rsidR="006F61E1">
              <w:rPr>
                <w:rFonts w:cs="Arial"/>
                <w:szCs w:val="24"/>
              </w:rPr>
              <w:t xml:space="preserve"> Forecast by Directorate </w:t>
            </w:r>
            <w:r w:rsidR="000F39CA">
              <w:rPr>
                <w:rFonts w:cs="Arial"/>
                <w:szCs w:val="24"/>
              </w:rPr>
              <w:t>as</w:t>
            </w:r>
            <w:r w:rsidR="006F61E1">
              <w:rPr>
                <w:rFonts w:cs="Arial"/>
                <w:szCs w:val="24"/>
              </w:rPr>
              <w:t xml:space="preserve"> </w:t>
            </w:r>
            <w:r>
              <w:rPr>
                <w:rFonts w:cs="Arial"/>
                <w:szCs w:val="24"/>
              </w:rPr>
              <w:t xml:space="preserve">at Quarter </w:t>
            </w:r>
            <w:r w:rsidR="00CF1BCF">
              <w:rPr>
                <w:rFonts w:cs="Arial"/>
                <w:szCs w:val="24"/>
              </w:rPr>
              <w:t>2</w:t>
            </w:r>
            <w:r w:rsidR="00383D3D">
              <w:rPr>
                <w:rFonts w:cs="Arial"/>
                <w:szCs w:val="24"/>
              </w:rPr>
              <w:t>.</w:t>
            </w:r>
            <w:r w:rsidRPr="002F3277">
              <w:rPr>
                <w:rFonts w:cs="Arial"/>
                <w:szCs w:val="24"/>
              </w:rPr>
              <w:t xml:space="preserve"> </w:t>
            </w:r>
          </w:p>
          <w:p w14:paraId="65411779" w14:textId="62B3F48E" w:rsidR="00EC1B92" w:rsidRDefault="00EC1B92">
            <w:pPr>
              <w:jc w:val="both"/>
              <w:rPr>
                <w:rFonts w:cs="Arial"/>
                <w:szCs w:val="24"/>
              </w:rPr>
            </w:pPr>
            <w:r>
              <w:rPr>
                <w:rFonts w:cs="Arial"/>
                <w:szCs w:val="24"/>
              </w:rPr>
              <w:t xml:space="preserve">Appendix 2 </w:t>
            </w:r>
            <w:r w:rsidR="00035F2C">
              <w:rPr>
                <w:rFonts w:cs="Arial"/>
                <w:szCs w:val="24"/>
              </w:rPr>
              <w:t>- Analysis</w:t>
            </w:r>
            <w:r w:rsidR="00DB648D">
              <w:rPr>
                <w:rFonts w:cs="Arial"/>
                <w:szCs w:val="24"/>
              </w:rPr>
              <w:t xml:space="preserve"> of Revenue Budget </w:t>
            </w:r>
            <w:r>
              <w:rPr>
                <w:rFonts w:cs="Arial"/>
                <w:szCs w:val="24"/>
              </w:rPr>
              <w:t>Movement</w:t>
            </w:r>
            <w:r w:rsidR="00DB648D">
              <w:rPr>
                <w:rFonts w:cs="Arial"/>
                <w:szCs w:val="24"/>
              </w:rPr>
              <w:t xml:space="preserve"> From the </w:t>
            </w:r>
            <w:r w:rsidR="00383D3D">
              <w:rPr>
                <w:rFonts w:cs="Arial"/>
                <w:szCs w:val="24"/>
              </w:rPr>
              <w:t>Approved February 2019</w:t>
            </w:r>
            <w:r w:rsidR="00DB648D">
              <w:rPr>
                <w:rFonts w:cs="Arial"/>
                <w:szCs w:val="24"/>
              </w:rPr>
              <w:t>.</w:t>
            </w:r>
          </w:p>
          <w:p w14:paraId="0D2E5C6B" w14:textId="0078FAF5" w:rsidR="00F370E5" w:rsidRDefault="00EC1B92">
            <w:pPr>
              <w:jc w:val="both"/>
              <w:rPr>
                <w:rFonts w:cs="Arial"/>
                <w:szCs w:val="24"/>
              </w:rPr>
            </w:pPr>
            <w:r>
              <w:rPr>
                <w:rFonts w:cs="Arial"/>
                <w:szCs w:val="24"/>
              </w:rPr>
              <w:t>Appendix 3</w:t>
            </w:r>
            <w:r w:rsidR="00F370E5">
              <w:rPr>
                <w:rFonts w:cs="Arial"/>
                <w:szCs w:val="24"/>
              </w:rPr>
              <w:t xml:space="preserve"> - </w:t>
            </w:r>
            <w:r w:rsidR="00F370E5" w:rsidRPr="00627565">
              <w:rPr>
                <w:rFonts w:cs="Arial"/>
                <w:szCs w:val="24"/>
              </w:rPr>
              <w:t>Draw Down</w:t>
            </w:r>
            <w:r w:rsidR="00F370E5">
              <w:rPr>
                <w:rFonts w:cs="Arial"/>
                <w:szCs w:val="24"/>
              </w:rPr>
              <w:t xml:space="preserve"> From</w:t>
            </w:r>
            <w:r w:rsidR="00F370E5" w:rsidRPr="00627565">
              <w:rPr>
                <w:rFonts w:cs="Arial"/>
                <w:szCs w:val="24"/>
              </w:rPr>
              <w:t xml:space="preserve"> Reserves</w:t>
            </w:r>
            <w:r w:rsidR="0052515D">
              <w:rPr>
                <w:rFonts w:cs="Arial"/>
                <w:szCs w:val="24"/>
              </w:rPr>
              <w:t xml:space="preserve"> a</w:t>
            </w:r>
            <w:r w:rsidR="000058C5">
              <w:rPr>
                <w:rFonts w:cs="Arial"/>
                <w:szCs w:val="24"/>
              </w:rPr>
              <w:t>nd Cross Divisional Adjustment</w:t>
            </w:r>
            <w:r w:rsidR="00241CC8">
              <w:rPr>
                <w:rFonts w:cs="Arial"/>
                <w:szCs w:val="24"/>
              </w:rPr>
              <w:t>s</w:t>
            </w:r>
            <w:r w:rsidR="000058C5">
              <w:rPr>
                <w:rFonts w:cs="Arial"/>
                <w:szCs w:val="24"/>
              </w:rPr>
              <w:t xml:space="preserve"> I</w:t>
            </w:r>
            <w:r w:rsidR="0052515D">
              <w:rPr>
                <w:rFonts w:cs="Arial"/>
                <w:szCs w:val="24"/>
              </w:rPr>
              <w:t>ncluding One-Off Income.</w:t>
            </w:r>
          </w:p>
          <w:p w14:paraId="469C3815" w14:textId="26CB93D4" w:rsidR="00F370E5" w:rsidRPr="002F3277" w:rsidRDefault="00F370E5">
            <w:pPr>
              <w:jc w:val="both"/>
              <w:rPr>
                <w:rFonts w:cs="Arial"/>
                <w:szCs w:val="24"/>
              </w:rPr>
            </w:pPr>
            <w:r>
              <w:rPr>
                <w:rFonts w:cs="Arial"/>
                <w:szCs w:val="24"/>
              </w:rPr>
              <w:t xml:space="preserve">Appendix </w:t>
            </w:r>
            <w:r w:rsidR="00EC1B92">
              <w:rPr>
                <w:rFonts w:cs="Arial"/>
                <w:szCs w:val="24"/>
              </w:rPr>
              <w:t>4</w:t>
            </w:r>
            <w:r>
              <w:rPr>
                <w:rFonts w:cs="Arial"/>
                <w:szCs w:val="24"/>
              </w:rPr>
              <w:t xml:space="preserve"> </w:t>
            </w:r>
            <w:r w:rsidR="00035F2C">
              <w:rPr>
                <w:rFonts w:cs="Arial"/>
                <w:szCs w:val="24"/>
              </w:rPr>
              <w:t>- 2019</w:t>
            </w:r>
            <w:r>
              <w:rPr>
                <w:rFonts w:cs="Arial"/>
                <w:szCs w:val="24"/>
              </w:rPr>
              <w:t>/20</w:t>
            </w:r>
            <w:r w:rsidRPr="00627565">
              <w:rPr>
                <w:rFonts w:cs="Arial"/>
                <w:szCs w:val="24"/>
              </w:rPr>
              <w:t xml:space="preserve"> Savings Tracker</w:t>
            </w:r>
            <w:r>
              <w:rPr>
                <w:rFonts w:cs="Arial"/>
                <w:szCs w:val="24"/>
              </w:rPr>
              <w:t>.</w:t>
            </w:r>
            <w:r w:rsidRPr="00627565">
              <w:rPr>
                <w:rFonts w:cs="Arial"/>
                <w:szCs w:val="24"/>
              </w:rPr>
              <w:t xml:space="preserve"> </w:t>
            </w:r>
          </w:p>
          <w:p w14:paraId="722054D8" w14:textId="2CB9E81E" w:rsidR="005641E0" w:rsidRDefault="00EC1B92">
            <w:pPr>
              <w:pStyle w:val="Infotext"/>
              <w:jc w:val="both"/>
              <w:rPr>
                <w:rFonts w:cs="Arial"/>
                <w:sz w:val="24"/>
                <w:szCs w:val="24"/>
              </w:rPr>
            </w:pPr>
            <w:r>
              <w:rPr>
                <w:rFonts w:cs="Arial"/>
                <w:sz w:val="24"/>
                <w:szCs w:val="24"/>
              </w:rPr>
              <w:t>Appendix</w:t>
            </w:r>
            <w:r w:rsidR="002C2D74">
              <w:rPr>
                <w:rFonts w:cs="Arial"/>
                <w:sz w:val="24"/>
                <w:szCs w:val="24"/>
              </w:rPr>
              <w:t xml:space="preserve"> </w:t>
            </w:r>
            <w:r>
              <w:rPr>
                <w:rFonts w:cs="Arial"/>
                <w:sz w:val="24"/>
                <w:szCs w:val="24"/>
              </w:rPr>
              <w:t>5</w:t>
            </w:r>
            <w:r w:rsidR="00F370E5" w:rsidRPr="00916452">
              <w:rPr>
                <w:rFonts w:cs="Arial"/>
                <w:sz w:val="24"/>
                <w:szCs w:val="24"/>
              </w:rPr>
              <w:t xml:space="preserve"> - Capital Programme</w:t>
            </w:r>
            <w:r w:rsidR="00F370E5">
              <w:rPr>
                <w:rFonts w:cs="Arial"/>
                <w:szCs w:val="24"/>
              </w:rPr>
              <w:t xml:space="preserve"> </w:t>
            </w:r>
            <w:r w:rsidR="00F370E5" w:rsidRPr="00916452">
              <w:rPr>
                <w:rFonts w:cs="Arial"/>
                <w:sz w:val="24"/>
                <w:szCs w:val="24"/>
              </w:rPr>
              <w:t xml:space="preserve">2019/2 as at Quarter </w:t>
            </w:r>
            <w:r w:rsidR="00D66382">
              <w:rPr>
                <w:rFonts w:cs="Arial"/>
                <w:sz w:val="24"/>
                <w:szCs w:val="24"/>
              </w:rPr>
              <w:t>2</w:t>
            </w:r>
            <w:r w:rsidR="00035F2C">
              <w:rPr>
                <w:rFonts w:cs="Arial"/>
                <w:sz w:val="24"/>
                <w:szCs w:val="24"/>
              </w:rPr>
              <w:t>.</w:t>
            </w:r>
          </w:p>
          <w:p w14:paraId="7FC20EA1" w14:textId="25BA4C8E" w:rsidR="00675F21" w:rsidRDefault="00675F21">
            <w:pPr>
              <w:pStyle w:val="Infotext"/>
              <w:jc w:val="both"/>
              <w:rPr>
                <w:rFonts w:cs="Arial"/>
                <w:sz w:val="24"/>
                <w:szCs w:val="24"/>
              </w:rPr>
            </w:pPr>
            <w:r>
              <w:rPr>
                <w:rFonts w:cs="Arial"/>
                <w:sz w:val="24"/>
                <w:szCs w:val="24"/>
              </w:rPr>
              <w:t xml:space="preserve">Appendix 6 </w:t>
            </w:r>
            <w:r w:rsidR="00D644A2">
              <w:rPr>
                <w:rFonts w:cs="Arial"/>
                <w:sz w:val="24"/>
                <w:szCs w:val="24"/>
              </w:rPr>
              <w:t>–</w:t>
            </w:r>
            <w:r>
              <w:rPr>
                <w:rFonts w:cs="Arial"/>
                <w:sz w:val="24"/>
                <w:szCs w:val="24"/>
              </w:rPr>
              <w:t xml:space="preserve"> </w:t>
            </w:r>
            <w:r w:rsidR="00D644A2">
              <w:rPr>
                <w:rFonts w:cs="Arial"/>
                <w:sz w:val="24"/>
                <w:szCs w:val="24"/>
              </w:rPr>
              <w:t xml:space="preserve">Council </w:t>
            </w:r>
            <w:r w:rsidR="00381A1C">
              <w:rPr>
                <w:rFonts w:cs="Arial"/>
                <w:sz w:val="24"/>
                <w:szCs w:val="24"/>
              </w:rPr>
              <w:t>Trading Company Update</w:t>
            </w:r>
            <w:r w:rsidR="00EA1F45">
              <w:rPr>
                <w:rFonts w:cs="Arial"/>
                <w:sz w:val="24"/>
                <w:szCs w:val="24"/>
              </w:rPr>
              <w:t xml:space="preserve"> </w:t>
            </w:r>
            <w:r w:rsidR="00381A1C">
              <w:rPr>
                <w:rFonts w:cs="Arial"/>
                <w:sz w:val="24"/>
                <w:szCs w:val="24"/>
              </w:rPr>
              <w:t xml:space="preserve">2019/20 </w:t>
            </w:r>
            <w:r w:rsidR="00035F2C">
              <w:rPr>
                <w:rFonts w:cs="Arial"/>
                <w:sz w:val="24"/>
                <w:szCs w:val="24"/>
              </w:rPr>
              <w:t xml:space="preserve">as at </w:t>
            </w:r>
            <w:r w:rsidR="00381A1C">
              <w:rPr>
                <w:rFonts w:cs="Arial"/>
                <w:sz w:val="24"/>
                <w:szCs w:val="24"/>
              </w:rPr>
              <w:t xml:space="preserve">Quarter </w:t>
            </w:r>
            <w:r w:rsidR="00D66382">
              <w:rPr>
                <w:rFonts w:cs="Arial"/>
                <w:sz w:val="24"/>
                <w:szCs w:val="24"/>
              </w:rPr>
              <w:t>2</w:t>
            </w:r>
            <w:r>
              <w:rPr>
                <w:rFonts w:cs="Arial"/>
                <w:sz w:val="24"/>
                <w:szCs w:val="24"/>
              </w:rPr>
              <w:t>.</w:t>
            </w:r>
            <w:r w:rsidR="000176F7">
              <w:rPr>
                <w:rFonts w:cs="Arial"/>
                <w:sz w:val="24"/>
                <w:szCs w:val="24"/>
              </w:rPr>
              <w:t xml:space="preserve"> </w:t>
            </w:r>
          </w:p>
          <w:p w14:paraId="0914C122" w14:textId="77777777" w:rsidR="00D67CC6" w:rsidRDefault="00D67CC6">
            <w:pPr>
              <w:pStyle w:val="Infotext"/>
              <w:jc w:val="both"/>
              <w:rPr>
                <w:rFonts w:cs="Arial"/>
                <w:sz w:val="24"/>
                <w:szCs w:val="24"/>
              </w:rPr>
            </w:pPr>
          </w:p>
          <w:p w14:paraId="7C41E06F" w14:textId="77777777" w:rsidR="00D67CC6" w:rsidRDefault="00D67CC6">
            <w:pPr>
              <w:pStyle w:val="Infotext"/>
              <w:jc w:val="both"/>
              <w:rPr>
                <w:rFonts w:cs="Arial"/>
                <w:sz w:val="24"/>
                <w:szCs w:val="24"/>
              </w:rPr>
            </w:pPr>
          </w:p>
          <w:p w14:paraId="064BED2D" w14:textId="77777777" w:rsidR="00D67CC6" w:rsidRDefault="00D67CC6">
            <w:pPr>
              <w:pStyle w:val="Infotext"/>
              <w:jc w:val="both"/>
              <w:rPr>
                <w:rFonts w:cs="Arial"/>
                <w:sz w:val="24"/>
                <w:szCs w:val="24"/>
              </w:rPr>
            </w:pPr>
          </w:p>
          <w:p w14:paraId="02CD0B38" w14:textId="77777777" w:rsidR="00381A1C" w:rsidRPr="00916452" w:rsidRDefault="00381A1C">
            <w:pPr>
              <w:pStyle w:val="Infotext"/>
              <w:jc w:val="both"/>
              <w:rPr>
                <w:rFonts w:cs="Arial"/>
                <w:sz w:val="24"/>
                <w:szCs w:val="24"/>
              </w:rPr>
            </w:pPr>
          </w:p>
          <w:p w14:paraId="58B457FE" w14:textId="77777777" w:rsidR="001C7E35" w:rsidRPr="00CE48E2" w:rsidRDefault="001C7E35">
            <w:pPr>
              <w:pStyle w:val="Infotext"/>
              <w:jc w:val="both"/>
              <w:rPr>
                <w:color w:val="FF0000"/>
                <w:sz w:val="24"/>
                <w:szCs w:val="24"/>
              </w:rPr>
            </w:pPr>
          </w:p>
        </w:tc>
      </w:tr>
      <w:tr w:rsidR="00333FAA" w14:paraId="2AD700D9"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nil"/>
              <w:left w:val="nil"/>
              <w:right w:val="nil"/>
            </w:tcBorders>
          </w:tcPr>
          <w:p w14:paraId="4E6A3993" w14:textId="77777777" w:rsidR="00333FAA" w:rsidRDefault="00333FAA">
            <w:pPr>
              <w:pStyle w:val="Heading1"/>
              <w:jc w:val="both"/>
            </w:pPr>
            <w:r>
              <w:lastRenderedPageBreak/>
              <w:t>Section 1 – Summary and Recommendations</w:t>
            </w:r>
          </w:p>
          <w:p w14:paraId="5C2FA4ED" w14:textId="77777777" w:rsidR="00333FAA" w:rsidRDefault="00333FAA">
            <w:pPr>
              <w:jc w:val="both"/>
            </w:pPr>
          </w:p>
        </w:tc>
      </w:tr>
      <w:tr w:rsidR="00333FAA" w14:paraId="1FB28782"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214" w:type="dxa"/>
            <w:gridSpan w:val="2"/>
          </w:tcPr>
          <w:p w14:paraId="15485C20" w14:textId="60F06C04" w:rsidR="00315406" w:rsidRDefault="00315406">
            <w:pPr>
              <w:pStyle w:val="ListParagraph"/>
              <w:jc w:val="both"/>
            </w:pPr>
          </w:p>
          <w:p w14:paraId="1403028E" w14:textId="47C2808D" w:rsidR="00F505C5" w:rsidRPr="00F505C5" w:rsidRDefault="00F505C5">
            <w:pPr>
              <w:jc w:val="both"/>
              <w:rPr>
                <w:bCs/>
              </w:rPr>
            </w:pPr>
            <w:r w:rsidRPr="00F505C5">
              <w:t xml:space="preserve">This report sets out the Council’s forecast financial position as at Quarter </w:t>
            </w:r>
            <w:r w:rsidR="00D66382">
              <w:t>2</w:t>
            </w:r>
            <w:r w:rsidRPr="00F505C5">
              <w:t xml:space="preserve"> (</w:t>
            </w:r>
            <w:r w:rsidR="00B11849">
              <w:t>30</w:t>
            </w:r>
            <w:r w:rsidR="00B11849" w:rsidRPr="00916452">
              <w:rPr>
                <w:vertAlign w:val="superscript"/>
              </w:rPr>
              <w:t>th</w:t>
            </w:r>
            <w:r w:rsidR="00B11849">
              <w:t xml:space="preserve"> </w:t>
            </w:r>
            <w:r w:rsidR="00D66382">
              <w:t>September</w:t>
            </w:r>
            <w:r w:rsidR="00B11849">
              <w:t xml:space="preserve"> 2019</w:t>
            </w:r>
            <w:r w:rsidRPr="00F505C5">
              <w:t>)</w:t>
            </w:r>
            <w:r w:rsidR="00070FDB">
              <w:t xml:space="preserve"> and</w:t>
            </w:r>
            <w:r w:rsidR="00A71395">
              <w:t xml:space="preserve"> </w:t>
            </w:r>
            <w:r w:rsidRPr="00F505C5">
              <w:rPr>
                <w:bCs/>
              </w:rPr>
              <w:t xml:space="preserve">seeks approval for Capital Programme </w:t>
            </w:r>
            <w:r w:rsidR="00B11849" w:rsidRPr="00F505C5">
              <w:rPr>
                <w:bCs/>
              </w:rPr>
              <w:t>adjustments</w:t>
            </w:r>
            <w:r w:rsidR="004964F6">
              <w:rPr>
                <w:bCs/>
              </w:rPr>
              <w:t>.</w:t>
            </w:r>
            <w:r w:rsidR="00070FDB">
              <w:rPr>
                <w:bCs/>
              </w:rPr>
              <w:t xml:space="preserve"> </w:t>
            </w:r>
          </w:p>
          <w:p w14:paraId="5285CDA3" w14:textId="77777777" w:rsidR="00F505C5" w:rsidRPr="00F505C5" w:rsidRDefault="00F505C5">
            <w:pPr>
              <w:jc w:val="both"/>
              <w:rPr>
                <w:b/>
                <w:bCs/>
                <w:u w:val="single"/>
              </w:rPr>
            </w:pPr>
          </w:p>
          <w:p w14:paraId="722ECE10" w14:textId="77777777" w:rsidR="00F505C5" w:rsidRPr="00F505C5" w:rsidRDefault="00F505C5">
            <w:pPr>
              <w:jc w:val="both"/>
              <w:rPr>
                <w:b/>
                <w:bCs/>
                <w:u w:val="single"/>
              </w:rPr>
            </w:pPr>
            <w:r w:rsidRPr="00F505C5">
              <w:rPr>
                <w:b/>
                <w:bCs/>
                <w:u w:val="single"/>
              </w:rPr>
              <w:t xml:space="preserve">Recommendations: </w:t>
            </w:r>
          </w:p>
          <w:p w14:paraId="08A43294" w14:textId="77777777" w:rsidR="00F505C5" w:rsidRDefault="00F505C5">
            <w:pPr>
              <w:jc w:val="both"/>
            </w:pPr>
          </w:p>
          <w:p w14:paraId="2A873388" w14:textId="7667CDF2" w:rsidR="00CF1E61" w:rsidRDefault="00F505C5">
            <w:pPr>
              <w:numPr>
                <w:ilvl w:val="0"/>
                <w:numId w:val="24"/>
              </w:numPr>
              <w:jc w:val="both"/>
            </w:pPr>
            <w:r w:rsidRPr="00F505C5">
              <w:t xml:space="preserve">That Cabinet notes the revenue and capital forecast positions </w:t>
            </w:r>
            <w:r w:rsidR="00383D3D">
              <w:t xml:space="preserve">as </w:t>
            </w:r>
            <w:r w:rsidRPr="00F505C5">
              <w:t xml:space="preserve">set out </w:t>
            </w:r>
            <w:r w:rsidR="00517C7D">
              <w:t>in</w:t>
            </w:r>
            <w:r w:rsidRPr="00F505C5">
              <w:t xml:space="preserve"> paragraph</w:t>
            </w:r>
            <w:r w:rsidR="00517C7D">
              <w:t>s</w:t>
            </w:r>
            <w:r w:rsidR="0008678F">
              <w:t xml:space="preserve"> 1.1</w:t>
            </w:r>
            <w:r w:rsidR="00CF1E61">
              <w:t xml:space="preserve"> </w:t>
            </w:r>
            <w:r w:rsidR="00F90841">
              <w:t xml:space="preserve">and </w:t>
            </w:r>
            <w:r w:rsidR="00CF1E61">
              <w:t>1.2</w:t>
            </w:r>
            <w:r w:rsidR="000860A6">
              <w:t>.</w:t>
            </w:r>
          </w:p>
          <w:p w14:paraId="0D779A3B" w14:textId="77777777" w:rsidR="00CA79C7" w:rsidRDefault="00CA79C7">
            <w:pPr>
              <w:ind w:left="720"/>
              <w:jc w:val="both"/>
            </w:pPr>
          </w:p>
          <w:p w14:paraId="1B83B30D" w14:textId="091B0B7D" w:rsidR="000D66AA" w:rsidRDefault="000D66AA">
            <w:pPr>
              <w:numPr>
                <w:ilvl w:val="0"/>
                <w:numId w:val="24"/>
              </w:numPr>
              <w:jc w:val="both"/>
            </w:pPr>
            <w:r>
              <w:t>That Cabinet approve the proposed addition to the Capital Programme as set out in paragraph 3.</w:t>
            </w:r>
            <w:r w:rsidR="00B937A0">
              <w:t>41</w:t>
            </w:r>
            <w:r w:rsidR="0029530B">
              <w:t xml:space="preserve"> </w:t>
            </w:r>
            <w:r w:rsidR="00DE7C00">
              <w:t xml:space="preserve">to </w:t>
            </w:r>
            <w:r w:rsidR="0029530B">
              <w:t xml:space="preserve"> 3.4</w:t>
            </w:r>
            <w:r w:rsidR="00DE7C00">
              <w:t>3</w:t>
            </w:r>
            <w:r w:rsidR="0029530B">
              <w:t>.</w:t>
            </w:r>
          </w:p>
          <w:p w14:paraId="7E68085F" w14:textId="77777777" w:rsidR="00B707E0" w:rsidRDefault="00B707E0" w:rsidP="0055416F">
            <w:pPr>
              <w:pStyle w:val="ListParagraph"/>
            </w:pPr>
          </w:p>
          <w:p w14:paraId="03BA6696" w14:textId="2F1BBC06" w:rsidR="00B707E0" w:rsidRPr="00B707E0" w:rsidRDefault="00B707E0" w:rsidP="00B707E0">
            <w:pPr>
              <w:pStyle w:val="ListParagraph"/>
              <w:numPr>
                <w:ilvl w:val="0"/>
                <w:numId w:val="24"/>
              </w:numPr>
            </w:pPr>
            <w:r w:rsidRPr="00B707E0">
              <w:t>That Cabinet approve the proposed realignment of the Capital Programme as set out in paragraph 3.44</w:t>
            </w:r>
            <w:r>
              <w:t>.</w:t>
            </w:r>
          </w:p>
          <w:p w14:paraId="2678B5BE" w14:textId="77777777" w:rsidR="000D66AA" w:rsidRDefault="000D66AA">
            <w:pPr>
              <w:pStyle w:val="ListParagraph"/>
              <w:jc w:val="both"/>
            </w:pPr>
          </w:p>
          <w:p w14:paraId="0BBDBEBA" w14:textId="00A0302B" w:rsidR="000D66AA" w:rsidRDefault="000D66AA">
            <w:pPr>
              <w:numPr>
                <w:ilvl w:val="0"/>
                <w:numId w:val="24"/>
              </w:numPr>
              <w:jc w:val="both"/>
            </w:pPr>
            <w:r>
              <w:t xml:space="preserve">That Cabinet note progress on the Council’s Trading </w:t>
            </w:r>
            <w:r w:rsidR="000F6980">
              <w:t>Company</w:t>
            </w:r>
            <w:r w:rsidR="00383D3D">
              <w:t xml:space="preserve"> </w:t>
            </w:r>
            <w:r w:rsidR="000F36FF">
              <w:t>update</w:t>
            </w:r>
            <w:r>
              <w:t xml:space="preserve"> as at Quarter </w:t>
            </w:r>
            <w:r w:rsidR="008C4577">
              <w:t>2</w:t>
            </w:r>
            <w:r>
              <w:t>, as detailed in Appendix 6.</w:t>
            </w:r>
          </w:p>
          <w:p w14:paraId="08CE28DA" w14:textId="77777777" w:rsidR="00E248C9" w:rsidRDefault="00E248C9" w:rsidP="0055416F">
            <w:pPr>
              <w:pStyle w:val="ListParagraph"/>
            </w:pPr>
          </w:p>
          <w:p w14:paraId="4ED7A4D8" w14:textId="2154B494" w:rsidR="00FD7AED" w:rsidRPr="00CD062E" w:rsidRDefault="00FD7AED">
            <w:pPr>
              <w:ind w:left="720"/>
              <w:jc w:val="both"/>
            </w:pPr>
          </w:p>
          <w:p w14:paraId="653139BF" w14:textId="77777777" w:rsidR="00591016" w:rsidRDefault="00591016">
            <w:pPr>
              <w:jc w:val="both"/>
            </w:pPr>
          </w:p>
          <w:p w14:paraId="2C813DBD" w14:textId="77777777" w:rsidR="005641E0" w:rsidRDefault="001C7E35">
            <w:pPr>
              <w:pStyle w:val="Heading2"/>
              <w:jc w:val="both"/>
              <w:rPr>
                <w:u w:val="single"/>
              </w:rPr>
            </w:pPr>
            <w:r w:rsidRPr="005641E0">
              <w:rPr>
                <w:u w:val="single"/>
              </w:rPr>
              <w:t>Reason:  (For recommendation</w:t>
            </w:r>
            <w:r w:rsidR="00714BEE" w:rsidRPr="005641E0">
              <w:rPr>
                <w:u w:val="single"/>
              </w:rPr>
              <w:t>s</w:t>
            </w:r>
            <w:r w:rsidRPr="005641E0">
              <w:rPr>
                <w:u w:val="single"/>
              </w:rPr>
              <w:t>)</w:t>
            </w:r>
            <w:r w:rsidR="00312B7A">
              <w:rPr>
                <w:u w:val="single"/>
              </w:rPr>
              <w:t xml:space="preserve"> </w:t>
            </w:r>
          </w:p>
          <w:p w14:paraId="752A3DF8" w14:textId="03DC2769" w:rsidR="00F505C5" w:rsidRPr="00F505C5" w:rsidRDefault="00F505C5">
            <w:pPr>
              <w:jc w:val="both"/>
            </w:pPr>
            <w:r w:rsidRPr="00F505C5">
              <w:t>To report the 2019</w:t>
            </w:r>
            <w:r>
              <w:t>/20</w:t>
            </w:r>
            <w:r w:rsidRPr="00F505C5">
              <w:t xml:space="preserve"> forecast financial position as at Quarter </w:t>
            </w:r>
            <w:r w:rsidR="00C9093E">
              <w:t>2</w:t>
            </w:r>
            <w:r w:rsidRPr="00F505C5">
              <w:t xml:space="preserve"> (3</w:t>
            </w:r>
            <w:r>
              <w:t>0</w:t>
            </w:r>
            <w:r w:rsidRPr="00916452">
              <w:rPr>
                <w:vertAlign w:val="superscript"/>
              </w:rPr>
              <w:t>th</w:t>
            </w:r>
            <w:r>
              <w:t xml:space="preserve"> </w:t>
            </w:r>
            <w:r w:rsidR="00D66382">
              <w:t>September</w:t>
            </w:r>
            <w:r>
              <w:t xml:space="preserve"> 2019</w:t>
            </w:r>
            <w:r w:rsidRPr="00F505C5">
              <w:t>)</w:t>
            </w:r>
            <w:r w:rsidR="00381A1C">
              <w:t xml:space="preserve">, to update Cabinet on </w:t>
            </w:r>
            <w:r w:rsidR="004964F6">
              <w:t>the</w:t>
            </w:r>
            <w:r w:rsidR="00383D3D">
              <w:t xml:space="preserve"> progress of the</w:t>
            </w:r>
            <w:r w:rsidR="004964F6">
              <w:t xml:space="preserve"> </w:t>
            </w:r>
            <w:r w:rsidR="00A64B08">
              <w:t xml:space="preserve">2019/20 Revenue </w:t>
            </w:r>
            <w:r w:rsidR="00383D3D">
              <w:t xml:space="preserve">budget </w:t>
            </w:r>
            <w:r w:rsidR="00A64B08">
              <w:t xml:space="preserve">and Capital </w:t>
            </w:r>
            <w:r w:rsidR="00383D3D">
              <w:t>Programme</w:t>
            </w:r>
            <w:r w:rsidR="00381A1C">
              <w:t xml:space="preserve"> </w:t>
            </w:r>
            <w:r w:rsidRPr="00F505C5">
              <w:t xml:space="preserve">and </w:t>
            </w:r>
            <w:r w:rsidR="00381A1C">
              <w:t xml:space="preserve">to </w:t>
            </w:r>
            <w:r w:rsidRPr="00F505C5">
              <w:t>seek approval for</w:t>
            </w:r>
            <w:r w:rsidR="00383D3D">
              <w:t xml:space="preserve"> an adjustment to the </w:t>
            </w:r>
            <w:r w:rsidRPr="00F505C5">
              <w:t xml:space="preserve"> Capital Programme </w:t>
            </w:r>
            <w:r w:rsidR="00B11849">
              <w:t xml:space="preserve">which </w:t>
            </w:r>
            <w:r w:rsidRPr="00F505C5">
              <w:t>require</w:t>
            </w:r>
            <w:r w:rsidR="00383D3D">
              <w:t>s</w:t>
            </w:r>
            <w:r w:rsidRPr="00F505C5">
              <w:t xml:space="preserve"> Cabinet approval in accordance with </w:t>
            </w:r>
            <w:r w:rsidR="00B77CFB">
              <w:t xml:space="preserve">the </w:t>
            </w:r>
            <w:r w:rsidR="004964F6">
              <w:t xml:space="preserve">Authority’s </w:t>
            </w:r>
            <w:r w:rsidRPr="00F505C5">
              <w:t>Financial Regulations.</w:t>
            </w:r>
          </w:p>
          <w:p w14:paraId="1D534CB5" w14:textId="77777777" w:rsidR="00333FAA" w:rsidRDefault="00333FAA">
            <w:pPr>
              <w:pStyle w:val="Heading2"/>
              <w:jc w:val="both"/>
            </w:pPr>
          </w:p>
        </w:tc>
      </w:tr>
    </w:tbl>
    <w:p w14:paraId="1F055235" w14:textId="77777777" w:rsidR="00333FAA" w:rsidRDefault="00333FAA">
      <w:pPr>
        <w:pStyle w:val="Heading1"/>
        <w:jc w:val="both"/>
        <w:rPr>
          <w:rFonts w:ascii="Arial" w:hAnsi="Arial"/>
          <w:sz w:val="24"/>
          <w:szCs w:val="24"/>
        </w:rPr>
      </w:pPr>
    </w:p>
    <w:p w14:paraId="3C326E6C" w14:textId="77777777" w:rsidR="00333FAA" w:rsidRDefault="00333FAA">
      <w:pPr>
        <w:pStyle w:val="Heading1"/>
        <w:jc w:val="both"/>
      </w:pPr>
      <w:r>
        <w:t>Section 2 – Report</w:t>
      </w:r>
    </w:p>
    <w:p w14:paraId="75C2F062" w14:textId="77777777" w:rsidR="005641E0" w:rsidRPr="0023702C" w:rsidRDefault="005641E0">
      <w:pPr>
        <w:jc w:val="both"/>
        <w:rPr>
          <w:rFonts w:cs="Arial"/>
          <w:szCs w:val="24"/>
        </w:rPr>
      </w:pPr>
    </w:p>
    <w:p w14:paraId="528CE6EC" w14:textId="77777777" w:rsidR="005641E0" w:rsidRDefault="006739F8">
      <w:pPr>
        <w:numPr>
          <w:ilvl w:val="0"/>
          <w:numId w:val="3"/>
        </w:numPr>
        <w:ind w:left="567" w:hanging="567"/>
        <w:jc w:val="both"/>
        <w:rPr>
          <w:rFonts w:cs="Arial"/>
          <w:b/>
          <w:bCs/>
          <w:szCs w:val="24"/>
          <w:u w:val="single"/>
        </w:rPr>
      </w:pPr>
      <w:r w:rsidRPr="00CA0075">
        <w:rPr>
          <w:rFonts w:cs="Arial"/>
          <w:b/>
          <w:bCs/>
          <w:szCs w:val="24"/>
          <w:u w:val="single"/>
        </w:rPr>
        <w:t>INTRODUCTION</w:t>
      </w:r>
    </w:p>
    <w:p w14:paraId="59CC7CC4" w14:textId="77777777" w:rsidR="003E2127" w:rsidRPr="00CA0075" w:rsidRDefault="003E2127">
      <w:pPr>
        <w:ind w:left="567"/>
        <w:jc w:val="both"/>
        <w:rPr>
          <w:rFonts w:cs="Arial"/>
          <w:b/>
          <w:bCs/>
          <w:szCs w:val="24"/>
          <w:u w:val="single"/>
        </w:rPr>
      </w:pPr>
    </w:p>
    <w:p w14:paraId="17D01E49" w14:textId="391C7365" w:rsidR="00E62B23" w:rsidRDefault="00383D3D">
      <w:pPr>
        <w:pStyle w:val="ListParagraph"/>
        <w:numPr>
          <w:ilvl w:val="0"/>
          <w:numId w:val="3"/>
        </w:numPr>
        <w:ind w:left="567" w:hanging="567"/>
        <w:contextualSpacing/>
        <w:jc w:val="both"/>
        <w:rPr>
          <w:rFonts w:cs="Arial"/>
          <w:szCs w:val="24"/>
        </w:rPr>
      </w:pPr>
      <w:r>
        <w:rPr>
          <w:rFonts w:cs="Arial"/>
          <w:szCs w:val="24"/>
        </w:rPr>
        <w:t xml:space="preserve">At Quarter 2, </w:t>
      </w:r>
      <w:r w:rsidR="000F6980" w:rsidRPr="009E4B36">
        <w:rPr>
          <w:rFonts w:cs="Arial"/>
          <w:szCs w:val="24"/>
        </w:rPr>
        <w:t>the</w:t>
      </w:r>
      <w:r w:rsidR="00A50427" w:rsidRPr="009E4B36">
        <w:rPr>
          <w:rFonts w:cs="Arial"/>
          <w:szCs w:val="24"/>
        </w:rPr>
        <w:t xml:space="preserve"> net forecast </w:t>
      </w:r>
      <w:r w:rsidR="00E62729">
        <w:rPr>
          <w:rFonts w:cs="Arial"/>
          <w:szCs w:val="24"/>
        </w:rPr>
        <w:t>overspend</w:t>
      </w:r>
      <w:r>
        <w:rPr>
          <w:rFonts w:cs="Arial"/>
          <w:szCs w:val="24"/>
        </w:rPr>
        <w:t xml:space="preserve"> on</w:t>
      </w:r>
      <w:r w:rsidR="00A50427" w:rsidRPr="00221D9F">
        <w:rPr>
          <w:rFonts w:cs="Arial"/>
          <w:szCs w:val="24"/>
        </w:rPr>
        <w:t xml:space="preserve"> the revenue budget is</w:t>
      </w:r>
      <w:r w:rsidR="006D67FB">
        <w:rPr>
          <w:rFonts w:cs="Arial"/>
          <w:szCs w:val="24"/>
        </w:rPr>
        <w:t xml:space="preserve"> </w:t>
      </w:r>
      <w:r w:rsidR="00E62729">
        <w:rPr>
          <w:rFonts w:cs="Arial"/>
          <w:szCs w:val="24"/>
        </w:rPr>
        <w:t>£</w:t>
      </w:r>
      <w:r w:rsidR="00C848AF">
        <w:rPr>
          <w:rFonts w:cs="Arial"/>
          <w:szCs w:val="24"/>
        </w:rPr>
        <w:t>254k</w:t>
      </w:r>
      <w:r>
        <w:rPr>
          <w:rFonts w:cs="Arial"/>
          <w:szCs w:val="24"/>
        </w:rPr>
        <w:t>. This is an increase of £</w:t>
      </w:r>
      <w:r w:rsidR="006341A2">
        <w:rPr>
          <w:rFonts w:cs="Arial"/>
          <w:szCs w:val="24"/>
        </w:rPr>
        <w:t>2</w:t>
      </w:r>
      <w:r w:rsidR="00C848AF">
        <w:rPr>
          <w:rFonts w:cs="Arial"/>
          <w:szCs w:val="24"/>
        </w:rPr>
        <w:t>67k</w:t>
      </w:r>
      <w:r>
        <w:rPr>
          <w:rFonts w:cs="Arial"/>
          <w:szCs w:val="24"/>
        </w:rPr>
        <w:t xml:space="preserve"> on Quarter 1 position.</w:t>
      </w:r>
    </w:p>
    <w:p w14:paraId="30D63E4F" w14:textId="77777777" w:rsidR="00E62B23" w:rsidRPr="00825AC5" w:rsidRDefault="00E62B23" w:rsidP="00825AC5">
      <w:pPr>
        <w:pStyle w:val="ListParagraph"/>
        <w:rPr>
          <w:rFonts w:cs="Arial"/>
          <w:szCs w:val="24"/>
        </w:rPr>
      </w:pPr>
    </w:p>
    <w:p w14:paraId="3A20F483" w14:textId="0B898DD8" w:rsidR="00A50427" w:rsidRPr="009373FE" w:rsidRDefault="00A50427" w:rsidP="009373FE">
      <w:pPr>
        <w:pStyle w:val="ListParagraph"/>
        <w:numPr>
          <w:ilvl w:val="1"/>
          <w:numId w:val="66"/>
        </w:numPr>
        <w:spacing w:after="120"/>
        <w:ind w:left="567" w:hanging="567"/>
        <w:jc w:val="both"/>
        <w:rPr>
          <w:rFonts w:cs="Arial"/>
          <w:szCs w:val="24"/>
        </w:rPr>
      </w:pPr>
      <w:r w:rsidRPr="0015017B">
        <w:rPr>
          <w:rFonts w:cs="Arial"/>
          <w:szCs w:val="24"/>
        </w:rPr>
        <w:t xml:space="preserve">The </w:t>
      </w:r>
      <w:r w:rsidR="00381A1C" w:rsidRPr="009373FE">
        <w:rPr>
          <w:rFonts w:cs="Arial"/>
          <w:szCs w:val="24"/>
        </w:rPr>
        <w:t>C</w:t>
      </w:r>
      <w:r w:rsidRPr="009373FE">
        <w:rPr>
          <w:rFonts w:cs="Arial"/>
          <w:szCs w:val="24"/>
        </w:rPr>
        <w:t xml:space="preserve">apital </w:t>
      </w:r>
      <w:r w:rsidR="00381A1C" w:rsidRPr="009373FE">
        <w:rPr>
          <w:rFonts w:cs="Arial"/>
          <w:szCs w:val="24"/>
        </w:rPr>
        <w:t>P</w:t>
      </w:r>
      <w:r w:rsidRPr="009373FE">
        <w:rPr>
          <w:rFonts w:cs="Arial"/>
          <w:szCs w:val="24"/>
        </w:rPr>
        <w:t>rogramme is reporting a forecast spend of £</w:t>
      </w:r>
      <w:r w:rsidR="000302C0" w:rsidRPr="009373FE">
        <w:rPr>
          <w:rFonts w:cs="Arial"/>
          <w:szCs w:val="24"/>
        </w:rPr>
        <w:t>139.27</w:t>
      </w:r>
      <w:r w:rsidR="00BE4B31" w:rsidRPr="009373FE">
        <w:rPr>
          <w:rFonts w:cs="Arial"/>
          <w:szCs w:val="24"/>
        </w:rPr>
        <w:t>1</w:t>
      </w:r>
      <w:r w:rsidRPr="009373FE">
        <w:rPr>
          <w:rFonts w:cs="Arial"/>
          <w:szCs w:val="24"/>
        </w:rPr>
        <w:t>m against a budget of £</w:t>
      </w:r>
      <w:r w:rsidR="00521A83" w:rsidRPr="009373FE">
        <w:rPr>
          <w:rFonts w:cs="Arial"/>
          <w:szCs w:val="24"/>
        </w:rPr>
        <w:t>318.35</w:t>
      </w:r>
      <w:r w:rsidR="00BE4B31" w:rsidRPr="009373FE">
        <w:rPr>
          <w:rFonts w:cs="Arial"/>
          <w:szCs w:val="24"/>
        </w:rPr>
        <w:t>1</w:t>
      </w:r>
      <w:r w:rsidRPr="009373FE">
        <w:rPr>
          <w:rFonts w:cs="Arial"/>
          <w:szCs w:val="24"/>
        </w:rPr>
        <w:t xml:space="preserve">m.  </w:t>
      </w:r>
    </w:p>
    <w:p w14:paraId="5FE0B5D5" w14:textId="77777777" w:rsidR="00A50427" w:rsidRPr="007C0D59" w:rsidRDefault="00A50427">
      <w:pPr>
        <w:pStyle w:val="ListParagraph"/>
        <w:ind w:left="689" w:right="306"/>
        <w:contextualSpacing/>
        <w:jc w:val="both"/>
        <w:rPr>
          <w:rFonts w:cs="Arial"/>
          <w:szCs w:val="24"/>
        </w:rPr>
      </w:pPr>
    </w:p>
    <w:p w14:paraId="59E24DE3" w14:textId="77777777" w:rsidR="00BE5E6A" w:rsidRDefault="00472810">
      <w:pPr>
        <w:pStyle w:val="ListParagraph"/>
        <w:numPr>
          <w:ilvl w:val="0"/>
          <w:numId w:val="29"/>
        </w:numPr>
        <w:ind w:left="567" w:hanging="567"/>
        <w:jc w:val="both"/>
        <w:rPr>
          <w:rFonts w:cs="Arial"/>
          <w:b/>
          <w:szCs w:val="24"/>
          <w:u w:val="single"/>
        </w:rPr>
      </w:pPr>
      <w:r w:rsidRPr="007C0D59">
        <w:rPr>
          <w:rFonts w:cs="Arial"/>
          <w:b/>
          <w:szCs w:val="24"/>
          <w:u w:val="single"/>
        </w:rPr>
        <w:t>REVENUE MONITORING</w:t>
      </w:r>
    </w:p>
    <w:p w14:paraId="0740BE2D" w14:textId="77777777" w:rsidR="003E2127" w:rsidRPr="007C0D59" w:rsidRDefault="003E2127">
      <w:pPr>
        <w:pStyle w:val="ListParagraph"/>
        <w:ind w:left="567"/>
        <w:jc w:val="both"/>
        <w:rPr>
          <w:rFonts w:cs="Arial"/>
          <w:b/>
          <w:szCs w:val="24"/>
          <w:u w:val="single"/>
        </w:rPr>
      </w:pPr>
    </w:p>
    <w:p w14:paraId="78E980C9" w14:textId="3CB45663" w:rsidR="00D67CC6" w:rsidRPr="00D7661F" w:rsidRDefault="004E537F">
      <w:pPr>
        <w:pStyle w:val="ListParagraph"/>
        <w:numPr>
          <w:ilvl w:val="0"/>
          <w:numId w:val="29"/>
        </w:numPr>
        <w:ind w:left="567" w:hanging="567"/>
        <w:jc w:val="both"/>
        <w:rPr>
          <w:rFonts w:cs="Arial"/>
          <w:szCs w:val="24"/>
        </w:rPr>
      </w:pPr>
      <w:r w:rsidRPr="00192915">
        <w:rPr>
          <w:rFonts w:cs="Arial"/>
          <w:bCs/>
          <w:szCs w:val="24"/>
        </w:rPr>
        <w:t xml:space="preserve">The </w:t>
      </w:r>
      <w:r w:rsidR="00381A1C" w:rsidRPr="00241F3D">
        <w:rPr>
          <w:rFonts w:cs="Arial"/>
          <w:bCs/>
          <w:szCs w:val="24"/>
        </w:rPr>
        <w:t>r</w:t>
      </w:r>
      <w:r w:rsidRPr="00192915">
        <w:rPr>
          <w:rFonts w:cs="Arial"/>
          <w:bCs/>
          <w:szCs w:val="24"/>
        </w:rPr>
        <w:t xml:space="preserve">evenue forecast </w:t>
      </w:r>
      <w:r w:rsidR="006E1B96" w:rsidRPr="00192915">
        <w:rPr>
          <w:rFonts w:cs="Arial"/>
          <w:bCs/>
          <w:szCs w:val="24"/>
        </w:rPr>
        <w:t>overspend</w:t>
      </w:r>
      <w:r w:rsidRPr="00192915">
        <w:rPr>
          <w:rFonts w:cs="Arial"/>
          <w:bCs/>
          <w:szCs w:val="24"/>
        </w:rPr>
        <w:t xml:space="preserve"> at Quarter </w:t>
      </w:r>
      <w:r w:rsidR="00C9093E" w:rsidRPr="00192915">
        <w:rPr>
          <w:rFonts w:cs="Arial"/>
          <w:bCs/>
          <w:szCs w:val="24"/>
        </w:rPr>
        <w:t>2</w:t>
      </w:r>
      <w:r w:rsidRPr="00192915">
        <w:rPr>
          <w:rFonts w:cs="Arial"/>
          <w:bCs/>
          <w:szCs w:val="24"/>
        </w:rPr>
        <w:t xml:space="preserve"> </w:t>
      </w:r>
      <w:r w:rsidR="000F6980" w:rsidRPr="00192915">
        <w:rPr>
          <w:rFonts w:cs="Arial"/>
          <w:bCs/>
          <w:szCs w:val="24"/>
        </w:rPr>
        <w:t>is £</w:t>
      </w:r>
      <w:r w:rsidR="00C848AF">
        <w:rPr>
          <w:rFonts w:cs="Arial"/>
          <w:bCs/>
          <w:szCs w:val="24"/>
        </w:rPr>
        <w:t>254k</w:t>
      </w:r>
      <w:r w:rsidR="00562D59">
        <w:rPr>
          <w:rFonts w:cs="Arial"/>
          <w:bCs/>
          <w:szCs w:val="24"/>
        </w:rPr>
        <w:t>.</w:t>
      </w:r>
    </w:p>
    <w:p w14:paraId="1760CB08" w14:textId="12B9C21A" w:rsidR="00192915" w:rsidRPr="00192915" w:rsidRDefault="00192915" w:rsidP="00825AC5">
      <w:pPr>
        <w:pStyle w:val="ListParagraph"/>
        <w:ind w:left="567"/>
        <w:jc w:val="both"/>
        <w:rPr>
          <w:rFonts w:cs="Arial"/>
          <w:szCs w:val="24"/>
        </w:rPr>
      </w:pPr>
    </w:p>
    <w:p w14:paraId="6ED25DAE" w14:textId="05C5BAF8" w:rsidR="00192915" w:rsidRDefault="00192915">
      <w:pPr>
        <w:pStyle w:val="ListParagraph"/>
        <w:numPr>
          <w:ilvl w:val="0"/>
          <w:numId w:val="29"/>
        </w:numPr>
        <w:ind w:left="567" w:hanging="567"/>
        <w:jc w:val="both"/>
        <w:rPr>
          <w:rFonts w:cs="Arial"/>
          <w:szCs w:val="24"/>
        </w:rPr>
      </w:pPr>
      <w:r>
        <w:rPr>
          <w:rFonts w:cs="Arial"/>
          <w:szCs w:val="24"/>
        </w:rPr>
        <w:t xml:space="preserve">The forecast by division is </w:t>
      </w:r>
      <w:r w:rsidR="00E93525">
        <w:rPr>
          <w:rFonts w:cs="Arial"/>
          <w:szCs w:val="24"/>
        </w:rPr>
        <w:t xml:space="preserve">set </w:t>
      </w:r>
      <w:r w:rsidR="000F6980">
        <w:rPr>
          <w:rFonts w:cs="Arial"/>
          <w:szCs w:val="24"/>
        </w:rPr>
        <w:t>out in</w:t>
      </w:r>
      <w:r>
        <w:rPr>
          <w:rFonts w:cs="Arial"/>
          <w:szCs w:val="24"/>
        </w:rPr>
        <w:t xml:space="preserve"> Appendix 1.</w:t>
      </w:r>
    </w:p>
    <w:p w14:paraId="05EDCCCC" w14:textId="77777777" w:rsidR="00192915" w:rsidRPr="00192915" w:rsidRDefault="00192915" w:rsidP="00825AC5">
      <w:pPr>
        <w:pStyle w:val="ListParagraph"/>
        <w:jc w:val="both"/>
        <w:rPr>
          <w:rFonts w:cs="Arial"/>
          <w:szCs w:val="24"/>
        </w:rPr>
      </w:pPr>
    </w:p>
    <w:p w14:paraId="65E344F3" w14:textId="7E4AA8D9" w:rsidR="00192915" w:rsidRPr="00192915" w:rsidRDefault="00192915" w:rsidP="00825AC5">
      <w:pPr>
        <w:pStyle w:val="ListParagraph"/>
        <w:numPr>
          <w:ilvl w:val="0"/>
          <w:numId w:val="29"/>
        </w:numPr>
        <w:ind w:left="567" w:hanging="567"/>
        <w:jc w:val="both"/>
        <w:rPr>
          <w:rFonts w:cs="Arial"/>
          <w:szCs w:val="24"/>
        </w:rPr>
      </w:pPr>
      <w:r w:rsidRPr="00192915">
        <w:rPr>
          <w:rFonts w:cs="Arial"/>
          <w:szCs w:val="24"/>
        </w:rPr>
        <w:t>Table 1 below sets out the summary of the Quarter 2 position:</w:t>
      </w:r>
    </w:p>
    <w:p w14:paraId="41DE36FE" w14:textId="77777777" w:rsidR="00CA0075" w:rsidRPr="009E4B36" w:rsidRDefault="00CA0075">
      <w:pPr>
        <w:pStyle w:val="ListParagraph"/>
        <w:ind w:left="709"/>
        <w:jc w:val="both"/>
        <w:rPr>
          <w:rFonts w:cs="Arial"/>
          <w:szCs w:val="24"/>
        </w:rPr>
      </w:pPr>
    </w:p>
    <w:p w14:paraId="45F534AD" w14:textId="0DA28274" w:rsidR="002167BA" w:rsidRDefault="00D122E9" w:rsidP="00825AC5">
      <w:pPr>
        <w:ind w:left="567" w:right="1275"/>
        <w:jc w:val="both"/>
        <w:rPr>
          <w:rFonts w:cs="Arial"/>
          <w:b/>
          <w:szCs w:val="24"/>
          <w:u w:val="single"/>
        </w:rPr>
      </w:pPr>
      <w:r w:rsidRPr="007C0D59">
        <w:rPr>
          <w:rFonts w:cs="Arial"/>
          <w:b/>
          <w:szCs w:val="24"/>
          <w:u w:val="single"/>
        </w:rPr>
        <w:lastRenderedPageBreak/>
        <w:t xml:space="preserve">Table 1: Summary of Revenue Budget Monitoring – </w:t>
      </w:r>
      <w:r w:rsidR="00562D59">
        <w:rPr>
          <w:rFonts w:cs="Arial"/>
          <w:b/>
          <w:szCs w:val="24"/>
          <w:u w:val="single"/>
        </w:rPr>
        <w:t xml:space="preserve">Quarter 2 </w:t>
      </w:r>
      <w:r w:rsidR="004964F6" w:rsidRPr="004964F6">
        <w:rPr>
          <w:rFonts w:cs="Arial"/>
          <w:b/>
          <w:szCs w:val="24"/>
          <w:u w:val="single"/>
        </w:rPr>
        <w:t xml:space="preserve"> </w:t>
      </w:r>
      <w:r w:rsidR="00FE602E" w:rsidRPr="00FE602E">
        <w:rPr>
          <w:rFonts w:cs="Arial"/>
          <w:b/>
          <w:szCs w:val="24"/>
          <w:u w:val="single"/>
        </w:rPr>
        <w:t xml:space="preserve"> </w:t>
      </w:r>
      <w:r w:rsidR="00C848AF" w:rsidRPr="00C848AF">
        <w:rPr>
          <w:noProof/>
          <w:lang w:eastAsia="en-GB"/>
        </w:rPr>
        <w:drawing>
          <wp:inline distT="0" distB="0" distL="0" distR="0" wp14:anchorId="3585B9D4" wp14:editId="4111CCFD">
            <wp:extent cx="5671715" cy="560363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5602480"/>
                    </a:xfrm>
                    <a:prstGeom prst="rect">
                      <a:avLst/>
                    </a:prstGeom>
                    <a:noFill/>
                    <a:ln>
                      <a:noFill/>
                    </a:ln>
                  </pic:spPr>
                </pic:pic>
              </a:graphicData>
            </a:graphic>
          </wp:inline>
        </w:drawing>
      </w:r>
    </w:p>
    <w:p w14:paraId="0E600FE7" w14:textId="12AEC1BE" w:rsidR="00CA79C7" w:rsidRDefault="008D13D7" w:rsidP="00825AC5">
      <w:pPr>
        <w:ind w:left="567"/>
        <w:jc w:val="both"/>
        <w:rPr>
          <w:rFonts w:cs="Arial"/>
          <w:b/>
          <w:szCs w:val="24"/>
          <w:u w:val="single"/>
        </w:rPr>
      </w:pPr>
      <w:r w:rsidRPr="008D13D7">
        <w:rPr>
          <w:rFonts w:cs="Arial"/>
          <w:b/>
          <w:szCs w:val="24"/>
          <w:u w:val="single"/>
        </w:rPr>
        <w:t xml:space="preserve"> </w:t>
      </w:r>
    </w:p>
    <w:p w14:paraId="3B1C1755" w14:textId="271F9B15" w:rsidR="00F608F4" w:rsidRPr="007C0D59" w:rsidRDefault="00F608F4">
      <w:pPr>
        <w:pStyle w:val="ListParagraph"/>
        <w:ind w:left="567"/>
        <w:jc w:val="both"/>
        <w:rPr>
          <w:rFonts w:cs="Arial"/>
          <w:b/>
          <w:color w:val="FF0000"/>
          <w:szCs w:val="24"/>
          <w:u w:val="single"/>
        </w:rPr>
      </w:pPr>
      <w:r w:rsidRPr="007C0D59">
        <w:rPr>
          <w:rFonts w:cs="Arial"/>
          <w:b/>
          <w:szCs w:val="24"/>
          <w:u w:val="single"/>
        </w:rPr>
        <w:t xml:space="preserve">RESOURCES </w:t>
      </w:r>
    </w:p>
    <w:p w14:paraId="3FB7E2A8" w14:textId="20F2FB0B" w:rsidR="007C5B34" w:rsidRPr="00825AC5" w:rsidRDefault="007C5B34" w:rsidP="00EB6E89">
      <w:pPr>
        <w:pStyle w:val="ListParagraph"/>
        <w:numPr>
          <w:ilvl w:val="0"/>
          <w:numId w:val="14"/>
        </w:numPr>
        <w:ind w:left="567" w:hanging="567"/>
        <w:jc w:val="both"/>
        <w:rPr>
          <w:rFonts w:cs="Arial"/>
          <w:szCs w:val="24"/>
          <w:lang w:val="en-US"/>
        </w:rPr>
      </w:pPr>
      <w:r w:rsidRPr="00CD5A9C">
        <w:rPr>
          <w:rFonts w:cs="Arial"/>
          <w:szCs w:val="24"/>
        </w:rPr>
        <w:t xml:space="preserve">At Quarter </w:t>
      </w:r>
      <w:r w:rsidR="00C828DD" w:rsidRPr="00CD5A9C">
        <w:rPr>
          <w:rFonts w:cs="Arial"/>
          <w:szCs w:val="24"/>
        </w:rPr>
        <w:t>2</w:t>
      </w:r>
      <w:r w:rsidRPr="00CD5A9C">
        <w:rPr>
          <w:rFonts w:cs="Arial"/>
          <w:szCs w:val="24"/>
        </w:rPr>
        <w:t xml:space="preserve">, </w:t>
      </w:r>
      <w:r w:rsidR="00381A1C" w:rsidRPr="00CD5A9C">
        <w:rPr>
          <w:rFonts w:cs="Arial"/>
          <w:szCs w:val="24"/>
        </w:rPr>
        <w:t>the d</w:t>
      </w:r>
      <w:r w:rsidRPr="00CD5A9C">
        <w:rPr>
          <w:rFonts w:cs="Arial"/>
          <w:szCs w:val="24"/>
        </w:rPr>
        <w:t xml:space="preserve">irectorate is forecasting </w:t>
      </w:r>
      <w:r w:rsidR="00764F3C">
        <w:rPr>
          <w:rFonts w:cs="Arial"/>
          <w:szCs w:val="24"/>
        </w:rPr>
        <w:t>an</w:t>
      </w:r>
      <w:r w:rsidRPr="00CD5A9C">
        <w:rPr>
          <w:rFonts w:cs="Arial"/>
          <w:szCs w:val="24"/>
        </w:rPr>
        <w:t xml:space="preserve"> overspend </w:t>
      </w:r>
      <w:r w:rsidR="00FF6B4D">
        <w:rPr>
          <w:rFonts w:cs="Arial"/>
          <w:szCs w:val="24"/>
        </w:rPr>
        <w:t>of</w:t>
      </w:r>
      <w:r w:rsidRPr="00CD5A9C">
        <w:rPr>
          <w:rFonts w:cs="Arial"/>
          <w:szCs w:val="24"/>
        </w:rPr>
        <w:t xml:space="preserve"> </w:t>
      </w:r>
      <w:r w:rsidR="00C828DD" w:rsidRPr="00CD5A9C">
        <w:rPr>
          <w:rFonts w:cs="Arial"/>
          <w:szCs w:val="24"/>
        </w:rPr>
        <w:t>£51</w:t>
      </w:r>
      <w:r w:rsidR="00764F3C">
        <w:rPr>
          <w:rFonts w:cs="Arial"/>
          <w:szCs w:val="24"/>
        </w:rPr>
        <w:t>4</w:t>
      </w:r>
      <w:r w:rsidR="00C828DD" w:rsidRPr="00CD5A9C">
        <w:rPr>
          <w:rFonts w:cs="Arial"/>
          <w:szCs w:val="24"/>
        </w:rPr>
        <w:t xml:space="preserve">k. </w:t>
      </w:r>
      <w:r w:rsidR="008E38BD" w:rsidRPr="00CD5A9C">
        <w:rPr>
          <w:rFonts w:cs="Arial"/>
          <w:szCs w:val="24"/>
        </w:rPr>
        <w:t>An increase in forecast overspend of £12</w:t>
      </w:r>
      <w:r w:rsidR="00CD5A9C">
        <w:rPr>
          <w:rFonts w:cs="Arial"/>
          <w:szCs w:val="24"/>
        </w:rPr>
        <w:t>7</w:t>
      </w:r>
      <w:r w:rsidR="008E38BD" w:rsidRPr="00CD5A9C">
        <w:rPr>
          <w:rFonts w:cs="Arial"/>
          <w:szCs w:val="24"/>
        </w:rPr>
        <w:t>k</w:t>
      </w:r>
      <w:r w:rsidR="00562D59">
        <w:rPr>
          <w:rFonts w:cs="Arial"/>
          <w:szCs w:val="24"/>
        </w:rPr>
        <w:t xml:space="preserve"> from Quarter 1</w:t>
      </w:r>
      <w:r w:rsidR="00E93525">
        <w:rPr>
          <w:rFonts w:cs="Arial"/>
          <w:szCs w:val="24"/>
        </w:rPr>
        <w:t>:</w:t>
      </w:r>
    </w:p>
    <w:p w14:paraId="3FCD72FF" w14:textId="77777777" w:rsidR="004724BB" w:rsidRDefault="004724BB" w:rsidP="00825AC5">
      <w:pPr>
        <w:jc w:val="both"/>
        <w:rPr>
          <w:rFonts w:cs="Arial"/>
          <w:szCs w:val="24"/>
          <w:lang w:val="en-US"/>
        </w:rPr>
      </w:pPr>
    </w:p>
    <w:p w14:paraId="0BE0F7BE" w14:textId="4BA7DDA9" w:rsidR="003E2127" w:rsidRPr="007C0D59" w:rsidDel="00CF1E61" w:rsidRDefault="00C57DF6" w:rsidP="00825AC5">
      <w:pPr>
        <w:ind w:firstLine="567"/>
        <w:jc w:val="both"/>
        <w:rPr>
          <w:rFonts w:cs="Arial"/>
          <w:b/>
          <w:szCs w:val="24"/>
          <w:u w:val="single"/>
        </w:rPr>
      </w:pPr>
      <w:r w:rsidRPr="007C0D59">
        <w:rPr>
          <w:rFonts w:cs="Arial"/>
          <w:b/>
          <w:szCs w:val="24"/>
          <w:u w:val="single"/>
        </w:rPr>
        <w:t xml:space="preserve">Table 2: Resources Directorate </w:t>
      </w:r>
      <w:r w:rsidR="00A515CA">
        <w:rPr>
          <w:rFonts w:cs="Arial"/>
          <w:b/>
          <w:szCs w:val="24"/>
          <w:u w:val="single"/>
        </w:rPr>
        <w:t>V</w:t>
      </w:r>
      <w:r w:rsidRPr="007C0D59">
        <w:rPr>
          <w:rFonts w:cs="Arial"/>
          <w:b/>
          <w:szCs w:val="24"/>
          <w:u w:val="single"/>
        </w:rPr>
        <w:t>ariance</w:t>
      </w:r>
    </w:p>
    <w:tbl>
      <w:tblPr>
        <w:tblW w:w="7513" w:type="dxa"/>
        <w:tblInd w:w="675" w:type="dxa"/>
        <w:tblLayout w:type="fixed"/>
        <w:tblLook w:val="04A0" w:firstRow="1" w:lastRow="0" w:firstColumn="1" w:lastColumn="0" w:noHBand="0" w:noVBand="1"/>
      </w:tblPr>
      <w:tblGrid>
        <w:gridCol w:w="1985"/>
        <w:gridCol w:w="1594"/>
        <w:gridCol w:w="1300"/>
        <w:gridCol w:w="1217"/>
        <w:gridCol w:w="1417"/>
      </w:tblGrid>
      <w:tr w:rsidR="00EE700E" w:rsidRPr="003E2127" w14:paraId="6B0DCA13" w14:textId="070B27F6" w:rsidTr="00C9462C">
        <w:trPr>
          <w:trHeight w:val="1734"/>
        </w:trPr>
        <w:tc>
          <w:tcPr>
            <w:tcW w:w="1985" w:type="dxa"/>
            <w:tcBorders>
              <w:top w:val="single" w:sz="8" w:space="0" w:color="auto"/>
              <w:left w:val="single" w:sz="8" w:space="0" w:color="auto"/>
              <w:bottom w:val="nil"/>
              <w:right w:val="single" w:sz="8" w:space="0" w:color="auto"/>
            </w:tcBorders>
            <w:shd w:val="clear" w:color="auto" w:fill="auto"/>
            <w:vAlign w:val="bottom"/>
            <w:hideMark/>
          </w:tcPr>
          <w:p w14:paraId="508CFC8E" w14:textId="77777777" w:rsidR="00EE700E" w:rsidRPr="003E2127" w:rsidRDefault="00EE700E" w:rsidP="00825AC5">
            <w:pPr>
              <w:ind w:left="-367" w:firstLine="367"/>
              <w:jc w:val="both"/>
              <w:rPr>
                <w:rFonts w:cs="Arial"/>
                <w:color w:val="000000"/>
                <w:szCs w:val="24"/>
                <w:lang w:eastAsia="en-GB"/>
              </w:rPr>
            </w:pPr>
            <w:r w:rsidRPr="003E2127">
              <w:rPr>
                <w:rFonts w:cs="Arial"/>
                <w:color w:val="000000"/>
                <w:szCs w:val="24"/>
                <w:lang w:eastAsia="en-GB"/>
              </w:rPr>
              <w:t>Revised Budget</w:t>
            </w:r>
          </w:p>
        </w:tc>
        <w:tc>
          <w:tcPr>
            <w:tcW w:w="1594" w:type="dxa"/>
            <w:tcBorders>
              <w:top w:val="single" w:sz="8" w:space="0" w:color="auto"/>
              <w:left w:val="nil"/>
              <w:bottom w:val="nil"/>
              <w:right w:val="single" w:sz="8" w:space="0" w:color="auto"/>
            </w:tcBorders>
            <w:shd w:val="clear" w:color="auto" w:fill="auto"/>
            <w:vAlign w:val="bottom"/>
            <w:hideMark/>
          </w:tcPr>
          <w:p w14:paraId="4BC1A6D5" w14:textId="24959270" w:rsidR="00EE700E" w:rsidRPr="003E2127" w:rsidRDefault="00EE700E" w:rsidP="00825AC5">
            <w:pPr>
              <w:jc w:val="both"/>
              <w:rPr>
                <w:rFonts w:cs="Arial"/>
                <w:color w:val="000000"/>
                <w:szCs w:val="24"/>
                <w:lang w:eastAsia="en-GB"/>
              </w:rPr>
            </w:pPr>
            <w:r w:rsidRPr="003E2127">
              <w:rPr>
                <w:rFonts w:cs="Arial"/>
                <w:color w:val="000000"/>
                <w:szCs w:val="24"/>
                <w:lang w:eastAsia="en-GB"/>
              </w:rPr>
              <w:t xml:space="preserve">Net Forecast Spend At Quarter </w:t>
            </w:r>
            <w:r>
              <w:rPr>
                <w:rFonts w:cs="Arial"/>
                <w:color w:val="000000"/>
                <w:szCs w:val="24"/>
                <w:lang w:eastAsia="en-GB"/>
              </w:rPr>
              <w:t>2</w:t>
            </w:r>
          </w:p>
        </w:tc>
        <w:tc>
          <w:tcPr>
            <w:tcW w:w="1300" w:type="dxa"/>
            <w:tcBorders>
              <w:top w:val="single" w:sz="8" w:space="0" w:color="auto"/>
              <w:left w:val="nil"/>
              <w:bottom w:val="nil"/>
              <w:right w:val="single" w:sz="8" w:space="0" w:color="auto"/>
            </w:tcBorders>
            <w:shd w:val="clear" w:color="auto" w:fill="auto"/>
            <w:vAlign w:val="bottom"/>
            <w:hideMark/>
          </w:tcPr>
          <w:p w14:paraId="5F2A0BA6" w14:textId="191FAA6E" w:rsidR="00EE700E" w:rsidRPr="003E2127" w:rsidRDefault="00EE700E" w:rsidP="00825AC5">
            <w:pPr>
              <w:jc w:val="both"/>
              <w:rPr>
                <w:rFonts w:cs="Arial"/>
                <w:color w:val="000000"/>
                <w:szCs w:val="24"/>
                <w:lang w:eastAsia="en-GB"/>
              </w:rPr>
            </w:pPr>
            <w:r w:rsidRPr="003E2127">
              <w:rPr>
                <w:rFonts w:cs="Arial"/>
                <w:color w:val="000000"/>
                <w:szCs w:val="24"/>
                <w:lang w:eastAsia="en-GB"/>
              </w:rPr>
              <w:t xml:space="preserve">Quarter </w:t>
            </w:r>
            <w:r>
              <w:rPr>
                <w:rFonts w:cs="Arial"/>
                <w:color w:val="000000"/>
                <w:szCs w:val="24"/>
                <w:lang w:eastAsia="en-GB"/>
              </w:rPr>
              <w:t>2</w:t>
            </w:r>
            <w:r w:rsidRPr="003E2127">
              <w:rPr>
                <w:rFonts w:cs="Arial"/>
                <w:color w:val="000000"/>
                <w:szCs w:val="24"/>
                <w:lang w:eastAsia="en-GB"/>
              </w:rPr>
              <w:t xml:space="preserve"> Variance</w:t>
            </w:r>
          </w:p>
        </w:tc>
        <w:tc>
          <w:tcPr>
            <w:tcW w:w="1217" w:type="dxa"/>
            <w:tcBorders>
              <w:top w:val="single" w:sz="8" w:space="0" w:color="auto"/>
              <w:left w:val="nil"/>
              <w:bottom w:val="nil"/>
              <w:right w:val="single" w:sz="8" w:space="0" w:color="auto"/>
            </w:tcBorders>
          </w:tcPr>
          <w:p w14:paraId="52C8DDEB" w14:textId="77777777" w:rsidR="00EE700E" w:rsidRDefault="00EE700E" w:rsidP="00825AC5">
            <w:pPr>
              <w:jc w:val="both"/>
              <w:rPr>
                <w:rFonts w:cs="Arial"/>
                <w:color w:val="000000"/>
                <w:szCs w:val="24"/>
                <w:lang w:eastAsia="en-GB"/>
              </w:rPr>
            </w:pPr>
          </w:p>
          <w:p w14:paraId="7EF6544A" w14:textId="77777777" w:rsidR="00EE700E" w:rsidRDefault="00EE700E" w:rsidP="00825AC5">
            <w:pPr>
              <w:jc w:val="both"/>
              <w:rPr>
                <w:rFonts w:cs="Arial"/>
                <w:color w:val="000000"/>
                <w:szCs w:val="24"/>
                <w:lang w:eastAsia="en-GB"/>
              </w:rPr>
            </w:pPr>
          </w:p>
          <w:p w14:paraId="38324E13" w14:textId="77777777" w:rsidR="00EE700E" w:rsidRDefault="00EE700E" w:rsidP="00825AC5">
            <w:pPr>
              <w:jc w:val="both"/>
              <w:rPr>
                <w:rFonts w:cs="Arial"/>
                <w:color w:val="000000"/>
                <w:szCs w:val="24"/>
                <w:lang w:eastAsia="en-GB"/>
              </w:rPr>
            </w:pPr>
          </w:p>
          <w:p w14:paraId="7CE9FDF3" w14:textId="77777777" w:rsidR="00EE700E" w:rsidRDefault="00EE700E" w:rsidP="00825AC5">
            <w:pPr>
              <w:jc w:val="both"/>
              <w:rPr>
                <w:rFonts w:cs="Arial"/>
                <w:color w:val="000000"/>
                <w:szCs w:val="24"/>
                <w:lang w:eastAsia="en-GB"/>
              </w:rPr>
            </w:pPr>
          </w:p>
          <w:p w14:paraId="048D2C37" w14:textId="3E1818EF" w:rsidR="00EE700E" w:rsidRPr="003E2127" w:rsidRDefault="00EE700E" w:rsidP="00825AC5">
            <w:pPr>
              <w:jc w:val="both"/>
              <w:rPr>
                <w:rFonts w:cs="Arial"/>
                <w:color w:val="000000"/>
                <w:szCs w:val="24"/>
                <w:lang w:eastAsia="en-GB"/>
              </w:rPr>
            </w:pPr>
            <w:r w:rsidRPr="00EE700E">
              <w:rPr>
                <w:rFonts w:cs="Arial"/>
                <w:color w:val="000000"/>
                <w:szCs w:val="24"/>
                <w:lang w:eastAsia="en-GB"/>
              </w:rPr>
              <w:t>Quarter</w:t>
            </w:r>
            <w:r w:rsidR="00323BA1">
              <w:rPr>
                <w:rFonts w:cs="Arial"/>
                <w:color w:val="000000"/>
                <w:szCs w:val="24"/>
                <w:lang w:eastAsia="en-GB"/>
              </w:rPr>
              <w:t xml:space="preserve"> 1</w:t>
            </w:r>
            <w:r w:rsidRPr="00EE700E">
              <w:rPr>
                <w:rFonts w:cs="Arial"/>
                <w:color w:val="000000"/>
                <w:szCs w:val="24"/>
                <w:lang w:eastAsia="en-GB"/>
              </w:rPr>
              <w:t xml:space="preserve"> Variance</w:t>
            </w:r>
          </w:p>
        </w:tc>
        <w:tc>
          <w:tcPr>
            <w:tcW w:w="1417" w:type="dxa"/>
            <w:tcBorders>
              <w:top w:val="single" w:sz="8" w:space="0" w:color="auto"/>
              <w:left w:val="nil"/>
              <w:bottom w:val="nil"/>
              <w:right w:val="single" w:sz="8" w:space="0" w:color="auto"/>
            </w:tcBorders>
          </w:tcPr>
          <w:p w14:paraId="6B8450DC" w14:textId="77777777" w:rsidR="00EE700E" w:rsidRDefault="00EE700E" w:rsidP="00825AC5">
            <w:pPr>
              <w:jc w:val="both"/>
              <w:rPr>
                <w:rFonts w:cs="Arial"/>
                <w:color w:val="000000"/>
                <w:szCs w:val="24"/>
                <w:lang w:eastAsia="en-GB"/>
              </w:rPr>
            </w:pPr>
          </w:p>
          <w:p w14:paraId="37C04552" w14:textId="77777777" w:rsidR="00EE700E" w:rsidRDefault="00EE700E" w:rsidP="00825AC5">
            <w:pPr>
              <w:jc w:val="both"/>
              <w:rPr>
                <w:rFonts w:cs="Arial"/>
                <w:color w:val="000000"/>
                <w:szCs w:val="24"/>
                <w:lang w:eastAsia="en-GB"/>
              </w:rPr>
            </w:pPr>
          </w:p>
          <w:p w14:paraId="66301FCC" w14:textId="77777777" w:rsidR="00EE700E" w:rsidRDefault="00EE700E" w:rsidP="00825AC5">
            <w:pPr>
              <w:jc w:val="both"/>
              <w:rPr>
                <w:rFonts w:cs="Arial"/>
                <w:color w:val="000000"/>
                <w:szCs w:val="24"/>
                <w:lang w:eastAsia="en-GB"/>
              </w:rPr>
            </w:pPr>
          </w:p>
          <w:p w14:paraId="5208CD00" w14:textId="2465CB74" w:rsidR="00EE700E" w:rsidRPr="003E2127" w:rsidRDefault="00EE700E" w:rsidP="00825AC5">
            <w:pPr>
              <w:jc w:val="both"/>
              <w:rPr>
                <w:rFonts w:cs="Arial"/>
                <w:color w:val="000000"/>
                <w:szCs w:val="24"/>
                <w:lang w:eastAsia="en-GB"/>
              </w:rPr>
            </w:pPr>
            <w:r>
              <w:rPr>
                <w:rFonts w:cs="Arial"/>
                <w:color w:val="000000"/>
                <w:szCs w:val="24"/>
                <w:lang w:eastAsia="en-GB"/>
              </w:rPr>
              <w:t>Movement Between Q</w:t>
            </w:r>
            <w:r w:rsidR="00B40346">
              <w:rPr>
                <w:rFonts w:cs="Arial"/>
                <w:color w:val="000000"/>
                <w:szCs w:val="24"/>
                <w:lang w:eastAsia="en-GB"/>
              </w:rPr>
              <w:t>2</w:t>
            </w:r>
            <w:r>
              <w:rPr>
                <w:rFonts w:cs="Arial"/>
                <w:color w:val="000000"/>
                <w:szCs w:val="24"/>
                <w:lang w:eastAsia="en-GB"/>
              </w:rPr>
              <w:t xml:space="preserve"> and Q</w:t>
            </w:r>
            <w:r w:rsidR="00B40346">
              <w:rPr>
                <w:rFonts w:cs="Arial"/>
                <w:color w:val="000000"/>
                <w:szCs w:val="24"/>
                <w:lang w:eastAsia="en-GB"/>
              </w:rPr>
              <w:t>1</w:t>
            </w:r>
            <w:r w:rsidRPr="00EE700E">
              <w:rPr>
                <w:rFonts w:cs="Arial"/>
                <w:color w:val="000000"/>
                <w:szCs w:val="24"/>
                <w:lang w:eastAsia="en-GB"/>
              </w:rPr>
              <w:t xml:space="preserve"> Variance</w:t>
            </w:r>
          </w:p>
        </w:tc>
      </w:tr>
      <w:tr w:rsidR="00EE700E" w:rsidRPr="003E2127" w14:paraId="15247A4D" w14:textId="36AD6187" w:rsidTr="00C9462C">
        <w:trPr>
          <w:trHeight w:val="300"/>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E34E4" w14:textId="77777777" w:rsidR="00EE700E" w:rsidRPr="003E2127" w:rsidRDefault="00EE700E" w:rsidP="00825AC5">
            <w:pPr>
              <w:jc w:val="both"/>
              <w:rPr>
                <w:rFonts w:cs="Arial"/>
                <w:color w:val="000000"/>
                <w:szCs w:val="24"/>
                <w:lang w:eastAsia="en-GB"/>
              </w:rPr>
            </w:pPr>
            <w:r w:rsidRPr="003E2127">
              <w:rPr>
                <w:rFonts w:cs="Arial"/>
                <w:color w:val="000000"/>
                <w:szCs w:val="24"/>
                <w:lang w:eastAsia="en-GB"/>
              </w:rPr>
              <w:t>£’000</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B0FB737" w14:textId="77777777" w:rsidR="00EE700E" w:rsidRPr="003E2127" w:rsidRDefault="00EE700E" w:rsidP="00825AC5">
            <w:pPr>
              <w:jc w:val="both"/>
              <w:rPr>
                <w:rFonts w:cs="Arial"/>
                <w:color w:val="000000"/>
                <w:szCs w:val="24"/>
                <w:lang w:eastAsia="en-GB"/>
              </w:rPr>
            </w:pPr>
            <w:r w:rsidRPr="003E2127">
              <w:rPr>
                <w:rFonts w:cs="Arial"/>
                <w:color w:val="000000"/>
                <w:szCs w:val="24"/>
                <w:lang w:eastAsia="en-GB"/>
              </w:rPr>
              <w:t>£’000</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14:paraId="64F48F25" w14:textId="77777777" w:rsidR="00EE700E" w:rsidRPr="003E2127" w:rsidRDefault="00EE700E" w:rsidP="00825AC5">
            <w:pPr>
              <w:jc w:val="both"/>
              <w:rPr>
                <w:rFonts w:cs="Arial"/>
                <w:color w:val="000000"/>
                <w:szCs w:val="24"/>
                <w:lang w:eastAsia="en-GB"/>
              </w:rPr>
            </w:pPr>
            <w:r w:rsidRPr="003E2127">
              <w:rPr>
                <w:rFonts w:cs="Arial"/>
                <w:color w:val="000000"/>
                <w:szCs w:val="24"/>
                <w:lang w:eastAsia="en-GB"/>
              </w:rPr>
              <w:t>£’000</w:t>
            </w:r>
          </w:p>
        </w:tc>
        <w:tc>
          <w:tcPr>
            <w:tcW w:w="1217" w:type="dxa"/>
            <w:tcBorders>
              <w:top w:val="single" w:sz="4" w:space="0" w:color="auto"/>
              <w:left w:val="nil"/>
              <w:bottom w:val="single" w:sz="4" w:space="0" w:color="auto"/>
              <w:right w:val="single" w:sz="8" w:space="0" w:color="auto"/>
            </w:tcBorders>
          </w:tcPr>
          <w:p w14:paraId="2F1B246F" w14:textId="3CE06930" w:rsidR="00EE700E" w:rsidRPr="003E2127" w:rsidRDefault="00EE700E" w:rsidP="00825AC5">
            <w:pPr>
              <w:jc w:val="both"/>
              <w:rPr>
                <w:rFonts w:cs="Arial"/>
                <w:color w:val="000000"/>
                <w:szCs w:val="24"/>
                <w:lang w:eastAsia="en-GB"/>
              </w:rPr>
            </w:pPr>
            <w:r w:rsidRPr="00331B32">
              <w:rPr>
                <w:rFonts w:cs="Arial"/>
                <w:color w:val="000000"/>
                <w:szCs w:val="24"/>
                <w:lang w:eastAsia="en-GB"/>
              </w:rPr>
              <w:t>£’000</w:t>
            </w:r>
          </w:p>
        </w:tc>
        <w:tc>
          <w:tcPr>
            <w:tcW w:w="1417" w:type="dxa"/>
            <w:tcBorders>
              <w:top w:val="single" w:sz="4" w:space="0" w:color="auto"/>
              <w:left w:val="nil"/>
              <w:bottom w:val="single" w:sz="4" w:space="0" w:color="auto"/>
              <w:right w:val="single" w:sz="8" w:space="0" w:color="auto"/>
            </w:tcBorders>
          </w:tcPr>
          <w:p w14:paraId="34833A6E" w14:textId="083018C1" w:rsidR="00EE700E" w:rsidRPr="003E2127" w:rsidRDefault="00EE700E" w:rsidP="00825AC5">
            <w:pPr>
              <w:jc w:val="both"/>
              <w:rPr>
                <w:rFonts w:cs="Arial"/>
                <w:color w:val="000000"/>
                <w:szCs w:val="24"/>
                <w:lang w:eastAsia="en-GB"/>
              </w:rPr>
            </w:pPr>
            <w:r w:rsidRPr="00331B32">
              <w:rPr>
                <w:rFonts w:cs="Arial"/>
                <w:color w:val="000000"/>
                <w:szCs w:val="24"/>
                <w:lang w:eastAsia="en-GB"/>
              </w:rPr>
              <w:t>£’000</w:t>
            </w:r>
          </w:p>
        </w:tc>
      </w:tr>
      <w:tr w:rsidR="00EE700E" w:rsidRPr="003E2127" w14:paraId="30C34B01" w14:textId="29656541" w:rsidTr="00C9462C">
        <w:trPr>
          <w:trHeight w:val="300"/>
        </w:trPr>
        <w:tc>
          <w:tcPr>
            <w:tcW w:w="1985" w:type="dxa"/>
            <w:tcBorders>
              <w:top w:val="nil"/>
              <w:left w:val="single" w:sz="4" w:space="0" w:color="auto"/>
              <w:bottom w:val="single" w:sz="8" w:space="0" w:color="auto"/>
              <w:right w:val="single" w:sz="4" w:space="0" w:color="auto"/>
            </w:tcBorders>
            <w:shd w:val="clear" w:color="auto" w:fill="auto"/>
            <w:noWrap/>
            <w:vAlign w:val="center"/>
            <w:hideMark/>
          </w:tcPr>
          <w:p w14:paraId="3374991E" w14:textId="703AEA7E" w:rsidR="00EE700E" w:rsidRPr="003E2127" w:rsidRDefault="00EE700E" w:rsidP="00825AC5">
            <w:pPr>
              <w:jc w:val="both"/>
              <w:rPr>
                <w:rFonts w:cs="Arial"/>
                <w:color w:val="000000"/>
                <w:sz w:val="22"/>
                <w:szCs w:val="22"/>
                <w:lang w:eastAsia="en-GB"/>
              </w:rPr>
            </w:pPr>
            <w:r w:rsidRPr="003E2127">
              <w:rPr>
                <w:rFonts w:cs="Arial"/>
                <w:color w:val="000000"/>
                <w:sz w:val="22"/>
                <w:szCs w:val="22"/>
                <w:lang w:eastAsia="en-GB"/>
              </w:rPr>
              <w:t>38,</w:t>
            </w:r>
            <w:r w:rsidR="00C828DD">
              <w:rPr>
                <w:rFonts w:cs="Arial"/>
                <w:color w:val="000000"/>
                <w:sz w:val="22"/>
                <w:szCs w:val="22"/>
                <w:lang w:eastAsia="en-GB"/>
              </w:rPr>
              <w:t>37</w:t>
            </w:r>
            <w:r w:rsidRPr="003E2127">
              <w:rPr>
                <w:rFonts w:cs="Arial"/>
                <w:color w:val="000000"/>
                <w:sz w:val="22"/>
                <w:szCs w:val="22"/>
                <w:lang w:eastAsia="en-GB"/>
              </w:rPr>
              <w:t>6</w:t>
            </w:r>
          </w:p>
        </w:tc>
        <w:tc>
          <w:tcPr>
            <w:tcW w:w="1594" w:type="dxa"/>
            <w:tcBorders>
              <w:top w:val="nil"/>
              <w:left w:val="nil"/>
              <w:bottom w:val="single" w:sz="8" w:space="0" w:color="auto"/>
              <w:right w:val="single" w:sz="4" w:space="0" w:color="auto"/>
            </w:tcBorders>
            <w:shd w:val="clear" w:color="auto" w:fill="auto"/>
            <w:noWrap/>
            <w:vAlign w:val="center"/>
            <w:hideMark/>
          </w:tcPr>
          <w:p w14:paraId="1B22CFC5" w14:textId="6330EB00" w:rsidR="00EE700E" w:rsidRPr="003E2127" w:rsidRDefault="00EE700E" w:rsidP="00825AC5">
            <w:pPr>
              <w:jc w:val="both"/>
              <w:rPr>
                <w:rFonts w:cs="Arial"/>
                <w:color w:val="000000"/>
                <w:sz w:val="22"/>
                <w:szCs w:val="22"/>
                <w:lang w:eastAsia="en-GB"/>
              </w:rPr>
            </w:pPr>
            <w:r w:rsidRPr="003E2127">
              <w:rPr>
                <w:rFonts w:cs="Arial"/>
                <w:color w:val="000000"/>
                <w:sz w:val="22"/>
                <w:szCs w:val="22"/>
                <w:lang w:eastAsia="en-GB"/>
              </w:rPr>
              <w:t>38,</w:t>
            </w:r>
            <w:r w:rsidR="00C828DD">
              <w:rPr>
                <w:rFonts w:cs="Arial"/>
                <w:color w:val="000000"/>
                <w:sz w:val="22"/>
                <w:szCs w:val="22"/>
                <w:lang w:eastAsia="en-GB"/>
              </w:rPr>
              <w:t>89</w:t>
            </w:r>
            <w:r w:rsidR="00CD5A9C">
              <w:rPr>
                <w:rFonts w:cs="Arial"/>
                <w:color w:val="000000"/>
                <w:sz w:val="22"/>
                <w:szCs w:val="22"/>
                <w:lang w:eastAsia="en-GB"/>
              </w:rPr>
              <w:t>0</w:t>
            </w:r>
          </w:p>
        </w:tc>
        <w:tc>
          <w:tcPr>
            <w:tcW w:w="1300" w:type="dxa"/>
            <w:tcBorders>
              <w:top w:val="nil"/>
              <w:left w:val="nil"/>
              <w:bottom w:val="single" w:sz="8" w:space="0" w:color="auto"/>
              <w:right w:val="single" w:sz="8" w:space="0" w:color="auto"/>
            </w:tcBorders>
            <w:shd w:val="clear" w:color="auto" w:fill="auto"/>
            <w:noWrap/>
            <w:vAlign w:val="center"/>
            <w:hideMark/>
          </w:tcPr>
          <w:p w14:paraId="21897111" w14:textId="2E1D1D70" w:rsidR="00EE700E" w:rsidRPr="003E2127" w:rsidRDefault="00C828DD" w:rsidP="00825AC5">
            <w:pPr>
              <w:jc w:val="both"/>
              <w:rPr>
                <w:rFonts w:cs="Arial"/>
                <w:color w:val="000000"/>
                <w:sz w:val="22"/>
                <w:szCs w:val="22"/>
                <w:lang w:eastAsia="en-GB"/>
              </w:rPr>
            </w:pPr>
            <w:r>
              <w:rPr>
                <w:rFonts w:cs="Arial"/>
                <w:color w:val="000000"/>
                <w:sz w:val="22"/>
                <w:szCs w:val="22"/>
                <w:lang w:eastAsia="en-GB"/>
              </w:rPr>
              <w:t>51</w:t>
            </w:r>
            <w:r w:rsidR="00CD5A9C">
              <w:rPr>
                <w:rFonts w:cs="Arial"/>
                <w:color w:val="000000"/>
                <w:sz w:val="22"/>
                <w:szCs w:val="22"/>
                <w:lang w:eastAsia="en-GB"/>
              </w:rPr>
              <w:t>4</w:t>
            </w:r>
          </w:p>
        </w:tc>
        <w:tc>
          <w:tcPr>
            <w:tcW w:w="1217" w:type="dxa"/>
            <w:tcBorders>
              <w:top w:val="nil"/>
              <w:left w:val="nil"/>
              <w:bottom w:val="single" w:sz="8" w:space="0" w:color="auto"/>
              <w:right w:val="single" w:sz="8" w:space="0" w:color="auto"/>
            </w:tcBorders>
          </w:tcPr>
          <w:p w14:paraId="3598FE00" w14:textId="5A6B4BC6" w:rsidR="00EE700E" w:rsidRPr="003E2127" w:rsidRDefault="00C828DD" w:rsidP="00825AC5">
            <w:pPr>
              <w:jc w:val="both"/>
              <w:rPr>
                <w:rFonts w:cs="Arial"/>
                <w:color w:val="000000"/>
                <w:sz w:val="22"/>
                <w:szCs w:val="22"/>
                <w:lang w:eastAsia="en-GB"/>
              </w:rPr>
            </w:pPr>
            <w:r>
              <w:rPr>
                <w:rFonts w:cs="Arial"/>
                <w:color w:val="000000"/>
                <w:sz w:val="22"/>
                <w:szCs w:val="22"/>
                <w:lang w:eastAsia="en-GB"/>
              </w:rPr>
              <w:t>387</w:t>
            </w:r>
          </w:p>
        </w:tc>
        <w:tc>
          <w:tcPr>
            <w:tcW w:w="1417" w:type="dxa"/>
            <w:tcBorders>
              <w:top w:val="nil"/>
              <w:left w:val="nil"/>
              <w:bottom w:val="single" w:sz="8" w:space="0" w:color="auto"/>
              <w:right w:val="single" w:sz="8" w:space="0" w:color="auto"/>
            </w:tcBorders>
          </w:tcPr>
          <w:p w14:paraId="31EA398B" w14:textId="2DFF23F6" w:rsidR="00EE700E" w:rsidRPr="003E2127" w:rsidRDefault="00C828DD" w:rsidP="00825AC5">
            <w:pPr>
              <w:jc w:val="both"/>
              <w:rPr>
                <w:rFonts w:cs="Arial"/>
                <w:color w:val="000000"/>
                <w:sz w:val="22"/>
                <w:szCs w:val="22"/>
                <w:lang w:eastAsia="en-GB"/>
              </w:rPr>
            </w:pPr>
            <w:r>
              <w:rPr>
                <w:rFonts w:cs="Arial"/>
                <w:color w:val="000000"/>
                <w:sz w:val="22"/>
                <w:szCs w:val="22"/>
                <w:lang w:eastAsia="en-GB"/>
              </w:rPr>
              <w:t>12</w:t>
            </w:r>
            <w:r w:rsidR="00CD5A9C">
              <w:rPr>
                <w:rFonts w:cs="Arial"/>
                <w:color w:val="000000"/>
                <w:sz w:val="22"/>
                <w:szCs w:val="22"/>
                <w:lang w:eastAsia="en-GB"/>
              </w:rPr>
              <w:t>7</w:t>
            </w:r>
          </w:p>
        </w:tc>
      </w:tr>
    </w:tbl>
    <w:p w14:paraId="275D6F9D" w14:textId="77777777" w:rsidR="00BE5E6A" w:rsidRPr="00CA0075" w:rsidRDefault="00BE5E6A">
      <w:pPr>
        <w:ind w:left="567" w:hanging="578"/>
        <w:contextualSpacing/>
        <w:jc w:val="both"/>
        <w:rPr>
          <w:rFonts w:cs="Arial"/>
          <w:szCs w:val="24"/>
        </w:rPr>
      </w:pPr>
    </w:p>
    <w:p w14:paraId="793B302B" w14:textId="7E1A1087" w:rsidR="00330B3A" w:rsidRPr="000C154C" w:rsidRDefault="00CA0075">
      <w:pPr>
        <w:pStyle w:val="ListParagraph"/>
        <w:numPr>
          <w:ilvl w:val="0"/>
          <w:numId w:val="14"/>
        </w:numPr>
        <w:ind w:left="567" w:hanging="567"/>
        <w:jc w:val="both"/>
        <w:rPr>
          <w:rFonts w:cs="Arial"/>
          <w:szCs w:val="24"/>
          <w:lang w:val="en-US"/>
        </w:rPr>
      </w:pPr>
      <w:r w:rsidRPr="000C154C">
        <w:rPr>
          <w:rFonts w:cs="Arial"/>
          <w:szCs w:val="24"/>
          <w:lang w:val="en-US"/>
        </w:rPr>
        <w:t>Human Resources (HR) ar</w:t>
      </w:r>
      <w:r w:rsidR="004A1570" w:rsidRPr="000C154C">
        <w:rPr>
          <w:rFonts w:cs="Arial"/>
          <w:szCs w:val="24"/>
          <w:lang w:val="en-US"/>
        </w:rPr>
        <w:t xml:space="preserve">e reporting </w:t>
      </w:r>
      <w:r w:rsidR="00381A1C" w:rsidRPr="000C154C">
        <w:rPr>
          <w:rFonts w:cs="Arial"/>
          <w:szCs w:val="24"/>
          <w:lang w:val="en-US"/>
        </w:rPr>
        <w:t xml:space="preserve">a </w:t>
      </w:r>
      <w:r w:rsidR="00330B3A" w:rsidRPr="000C154C">
        <w:rPr>
          <w:rFonts w:cs="Arial"/>
          <w:szCs w:val="24"/>
          <w:lang w:val="en-US"/>
        </w:rPr>
        <w:t>£209k overspend</w:t>
      </w:r>
      <w:r w:rsidR="00562D59">
        <w:rPr>
          <w:rFonts w:cs="Arial"/>
          <w:szCs w:val="24"/>
          <w:lang w:val="en-US"/>
        </w:rPr>
        <w:t>,</w:t>
      </w:r>
      <w:r w:rsidR="000C154C">
        <w:rPr>
          <w:rFonts w:cs="Arial"/>
          <w:szCs w:val="24"/>
          <w:lang w:val="en-US"/>
        </w:rPr>
        <w:t xml:space="preserve"> an</w:t>
      </w:r>
      <w:r w:rsidR="00330B3A" w:rsidRPr="000C154C">
        <w:rPr>
          <w:rFonts w:cs="Arial"/>
          <w:szCs w:val="24"/>
          <w:lang w:val="en-US"/>
        </w:rPr>
        <w:t xml:space="preserve"> </w:t>
      </w:r>
      <w:r w:rsidR="0041621A" w:rsidRPr="000C154C">
        <w:rPr>
          <w:rFonts w:cs="Arial"/>
          <w:szCs w:val="24"/>
          <w:lang w:val="en-US"/>
        </w:rPr>
        <w:t xml:space="preserve">increase </w:t>
      </w:r>
      <w:r w:rsidR="000F6980">
        <w:rPr>
          <w:rFonts w:cs="Arial"/>
          <w:szCs w:val="24"/>
          <w:lang w:val="en-US"/>
        </w:rPr>
        <w:t xml:space="preserve">of </w:t>
      </w:r>
      <w:r w:rsidR="000F6980" w:rsidRPr="000C154C">
        <w:rPr>
          <w:rFonts w:cs="Arial"/>
          <w:szCs w:val="24"/>
          <w:lang w:val="en-US"/>
        </w:rPr>
        <w:t>£</w:t>
      </w:r>
      <w:r w:rsidR="0041621A" w:rsidRPr="000C154C">
        <w:rPr>
          <w:rFonts w:cs="Arial"/>
          <w:szCs w:val="24"/>
          <w:lang w:val="en-US"/>
        </w:rPr>
        <w:t>109k</w:t>
      </w:r>
      <w:r w:rsidR="00562D59">
        <w:rPr>
          <w:rFonts w:cs="Arial"/>
          <w:szCs w:val="24"/>
          <w:lang w:val="en-US"/>
        </w:rPr>
        <w:t>.</w:t>
      </w:r>
      <w:r w:rsidR="00330B3A" w:rsidRPr="000C154C">
        <w:rPr>
          <w:rFonts w:cs="Arial"/>
          <w:szCs w:val="24"/>
          <w:lang w:val="en-US"/>
        </w:rPr>
        <w:t xml:space="preserve"> </w:t>
      </w:r>
      <w:r w:rsidR="00E93525">
        <w:rPr>
          <w:rFonts w:cs="Arial"/>
          <w:szCs w:val="24"/>
          <w:lang w:val="en-US"/>
        </w:rPr>
        <w:t>T</w:t>
      </w:r>
      <w:r w:rsidR="00B7777C" w:rsidRPr="000C154C">
        <w:rPr>
          <w:rFonts w:cs="Arial"/>
          <w:szCs w:val="24"/>
          <w:lang w:val="en-US"/>
        </w:rPr>
        <w:t xml:space="preserve">he overspend </w:t>
      </w:r>
      <w:r w:rsidR="00C828DD" w:rsidRPr="000C154C">
        <w:rPr>
          <w:rFonts w:cs="Arial"/>
          <w:szCs w:val="24"/>
          <w:lang w:val="en-US"/>
        </w:rPr>
        <w:t xml:space="preserve">and its increase </w:t>
      </w:r>
      <w:r w:rsidRPr="000C154C">
        <w:rPr>
          <w:rFonts w:cs="Arial"/>
          <w:szCs w:val="24"/>
          <w:lang w:val="en-US"/>
        </w:rPr>
        <w:t xml:space="preserve">relate to the cost of </w:t>
      </w:r>
      <w:r w:rsidR="007D3969">
        <w:rPr>
          <w:rFonts w:cs="Arial"/>
          <w:szCs w:val="24"/>
          <w:lang w:val="en-US"/>
        </w:rPr>
        <w:t xml:space="preserve">interim </w:t>
      </w:r>
      <w:r w:rsidRPr="000C154C">
        <w:rPr>
          <w:rFonts w:cs="Arial"/>
          <w:szCs w:val="24"/>
          <w:lang w:val="en-US"/>
        </w:rPr>
        <w:t xml:space="preserve">staff engaged to manage the transfer of the HR service back in house </w:t>
      </w:r>
      <w:r w:rsidR="00330B3A" w:rsidRPr="000C154C">
        <w:rPr>
          <w:rFonts w:cs="Arial"/>
          <w:szCs w:val="24"/>
          <w:lang w:val="en-US"/>
        </w:rPr>
        <w:t xml:space="preserve">following the </w:t>
      </w:r>
      <w:r w:rsidR="00330B3A" w:rsidRPr="000C154C">
        <w:rPr>
          <w:rFonts w:cs="Arial"/>
          <w:szCs w:val="24"/>
          <w:lang w:val="en-US"/>
        </w:rPr>
        <w:lastRenderedPageBreak/>
        <w:t>ces</w:t>
      </w:r>
      <w:r w:rsidR="00C828DD" w:rsidRPr="00825AC5">
        <w:rPr>
          <w:rFonts w:cs="Arial"/>
          <w:szCs w:val="24"/>
          <w:lang w:val="en-US"/>
        </w:rPr>
        <w:t>s</w:t>
      </w:r>
      <w:r w:rsidR="00330B3A" w:rsidRPr="00825AC5">
        <w:rPr>
          <w:rFonts w:cs="Arial"/>
          <w:szCs w:val="24"/>
          <w:lang w:val="en-US"/>
        </w:rPr>
        <w:t>at</w:t>
      </w:r>
      <w:r w:rsidR="00C828DD" w:rsidRPr="00825AC5">
        <w:rPr>
          <w:rFonts w:cs="Arial"/>
          <w:szCs w:val="24"/>
          <w:lang w:val="en-US"/>
        </w:rPr>
        <w:t>i</w:t>
      </w:r>
      <w:r w:rsidR="00330B3A" w:rsidRPr="00825AC5">
        <w:rPr>
          <w:rFonts w:cs="Arial"/>
          <w:szCs w:val="24"/>
          <w:lang w:val="en-US"/>
        </w:rPr>
        <w:t>on of  the contract with Buckinghamshire C</w:t>
      </w:r>
      <w:r w:rsidR="000C154C">
        <w:rPr>
          <w:rFonts w:cs="Arial"/>
          <w:szCs w:val="24"/>
          <w:lang w:val="en-US"/>
        </w:rPr>
        <w:t xml:space="preserve">ounty </w:t>
      </w:r>
      <w:r w:rsidR="00330B3A" w:rsidRPr="00825AC5">
        <w:rPr>
          <w:rFonts w:cs="Arial"/>
          <w:szCs w:val="24"/>
          <w:lang w:val="en-US"/>
        </w:rPr>
        <w:t>C</w:t>
      </w:r>
      <w:r w:rsidR="000C154C">
        <w:rPr>
          <w:rFonts w:cs="Arial"/>
          <w:szCs w:val="24"/>
          <w:lang w:val="en-US"/>
        </w:rPr>
        <w:t>ouncil</w:t>
      </w:r>
      <w:r w:rsidR="00330B3A" w:rsidRPr="00825AC5">
        <w:rPr>
          <w:rFonts w:cs="Arial"/>
          <w:szCs w:val="24"/>
          <w:lang w:val="en-US"/>
        </w:rPr>
        <w:t xml:space="preserve"> </w:t>
      </w:r>
      <w:r w:rsidR="007D3969">
        <w:rPr>
          <w:rFonts w:cs="Arial"/>
          <w:szCs w:val="24"/>
          <w:lang w:val="en-US"/>
        </w:rPr>
        <w:t>on the</w:t>
      </w:r>
      <w:r w:rsidR="00764F3C">
        <w:rPr>
          <w:rFonts w:cs="Arial"/>
          <w:szCs w:val="24"/>
          <w:lang w:val="en-US"/>
        </w:rPr>
        <w:t xml:space="preserve"> 30</w:t>
      </w:r>
      <w:r w:rsidR="00764F3C" w:rsidRPr="00825AC5">
        <w:rPr>
          <w:rFonts w:cs="Arial"/>
          <w:szCs w:val="24"/>
          <w:vertAlign w:val="superscript"/>
          <w:lang w:val="en-US"/>
        </w:rPr>
        <w:t>th</w:t>
      </w:r>
      <w:r w:rsidR="00330B3A" w:rsidRPr="00825AC5">
        <w:rPr>
          <w:rFonts w:cs="Arial"/>
          <w:szCs w:val="24"/>
          <w:lang w:val="en-US"/>
        </w:rPr>
        <w:t xml:space="preserve"> September 2019</w:t>
      </w:r>
      <w:r w:rsidR="007D3969">
        <w:rPr>
          <w:rFonts w:cs="Arial"/>
          <w:szCs w:val="24"/>
          <w:lang w:val="en-US"/>
        </w:rPr>
        <w:t>.</w:t>
      </w:r>
    </w:p>
    <w:p w14:paraId="0272E35A" w14:textId="77777777" w:rsidR="00CA0075" w:rsidRPr="00825AC5" w:rsidRDefault="00CA0075">
      <w:pPr>
        <w:pStyle w:val="ListParagraph"/>
        <w:ind w:left="567"/>
        <w:jc w:val="both"/>
        <w:rPr>
          <w:rFonts w:cs="Arial"/>
          <w:b/>
          <w:szCs w:val="24"/>
          <w:lang w:val="en-US"/>
        </w:rPr>
      </w:pPr>
    </w:p>
    <w:p w14:paraId="6C618251" w14:textId="30AE2171" w:rsidR="00CA0075" w:rsidRPr="00825AC5" w:rsidRDefault="00CA0075">
      <w:pPr>
        <w:pStyle w:val="ListParagraph"/>
        <w:numPr>
          <w:ilvl w:val="0"/>
          <w:numId w:val="14"/>
        </w:numPr>
        <w:ind w:left="567" w:hanging="567"/>
        <w:jc w:val="both"/>
        <w:rPr>
          <w:rFonts w:cs="Arial"/>
          <w:szCs w:val="24"/>
          <w:lang w:val="en-US"/>
        </w:rPr>
      </w:pPr>
      <w:r w:rsidRPr="00CA0075">
        <w:rPr>
          <w:rFonts w:cs="Arial"/>
          <w:szCs w:val="24"/>
        </w:rPr>
        <w:t>The</w:t>
      </w:r>
      <w:r w:rsidRPr="00CA0075">
        <w:rPr>
          <w:rFonts w:cs="Arial"/>
          <w:b/>
          <w:szCs w:val="24"/>
        </w:rPr>
        <w:t xml:space="preserve"> </w:t>
      </w:r>
      <w:r w:rsidRPr="00CA0075">
        <w:rPr>
          <w:rFonts w:cs="Arial"/>
          <w:szCs w:val="24"/>
        </w:rPr>
        <w:t xml:space="preserve">Strategy Division is reporting </w:t>
      </w:r>
      <w:r w:rsidR="006E1B96" w:rsidRPr="00CA0075">
        <w:rPr>
          <w:rFonts w:cs="Arial"/>
          <w:szCs w:val="24"/>
        </w:rPr>
        <w:t>an overall £</w:t>
      </w:r>
      <w:r w:rsidR="006E1B96">
        <w:rPr>
          <w:rFonts w:cs="Arial"/>
          <w:szCs w:val="24"/>
        </w:rPr>
        <w:t>500</w:t>
      </w:r>
      <w:r w:rsidR="006E1B96" w:rsidRPr="00CA0075">
        <w:rPr>
          <w:rFonts w:cs="Arial"/>
          <w:szCs w:val="24"/>
        </w:rPr>
        <w:t>k overspend</w:t>
      </w:r>
      <w:r w:rsidR="00381A1C">
        <w:rPr>
          <w:rFonts w:cs="Arial"/>
          <w:szCs w:val="24"/>
        </w:rPr>
        <w:t xml:space="preserve">. </w:t>
      </w:r>
      <w:r w:rsidRPr="00CA0075">
        <w:rPr>
          <w:rFonts w:cs="Arial"/>
          <w:szCs w:val="24"/>
        </w:rPr>
        <w:t xml:space="preserve">The variance reflects a £300k </w:t>
      </w:r>
      <w:r w:rsidR="00381A1C">
        <w:rPr>
          <w:rFonts w:cs="Arial"/>
          <w:szCs w:val="24"/>
        </w:rPr>
        <w:t>overspend o</w:t>
      </w:r>
      <w:r w:rsidRPr="00CA0075">
        <w:rPr>
          <w:rFonts w:cs="Arial"/>
          <w:szCs w:val="24"/>
        </w:rPr>
        <w:t xml:space="preserve">n </w:t>
      </w:r>
      <w:r w:rsidR="00381A1C">
        <w:rPr>
          <w:rFonts w:cs="Arial"/>
          <w:szCs w:val="24"/>
        </w:rPr>
        <w:t>communication</w:t>
      </w:r>
      <w:r w:rsidR="00070FDB">
        <w:rPr>
          <w:rFonts w:cs="Arial"/>
          <w:szCs w:val="24"/>
        </w:rPr>
        <w:t>s</w:t>
      </w:r>
      <w:r w:rsidRPr="00CA0075">
        <w:rPr>
          <w:rFonts w:cs="Arial"/>
          <w:szCs w:val="24"/>
        </w:rPr>
        <w:t xml:space="preserve">. </w:t>
      </w:r>
      <w:r w:rsidRPr="00CA0075">
        <w:rPr>
          <w:rFonts w:cs="Arial"/>
          <w:szCs w:val="24"/>
          <w:lang w:val="en-US"/>
        </w:rPr>
        <w:t>The remain</w:t>
      </w:r>
      <w:r w:rsidR="00381A1C">
        <w:rPr>
          <w:rFonts w:cs="Arial"/>
          <w:szCs w:val="24"/>
          <w:lang w:val="en-US"/>
        </w:rPr>
        <w:t>ing</w:t>
      </w:r>
      <w:r w:rsidRPr="00CA0075">
        <w:rPr>
          <w:rFonts w:cs="Arial"/>
          <w:szCs w:val="24"/>
          <w:lang w:val="en-US"/>
        </w:rPr>
        <w:t xml:space="preserve"> overspend of £</w:t>
      </w:r>
      <w:r w:rsidR="00330B3A">
        <w:rPr>
          <w:rFonts w:cs="Arial"/>
          <w:szCs w:val="24"/>
          <w:lang w:val="en-US"/>
        </w:rPr>
        <w:t>200</w:t>
      </w:r>
      <w:r w:rsidR="00330B3A" w:rsidRPr="00CA0075">
        <w:rPr>
          <w:rFonts w:cs="Arial"/>
          <w:szCs w:val="24"/>
          <w:lang w:val="en-US"/>
        </w:rPr>
        <w:t xml:space="preserve">k </w:t>
      </w:r>
      <w:r w:rsidRPr="00CA0075">
        <w:rPr>
          <w:rFonts w:cs="Arial"/>
          <w:szCs w:val="24"/>
          <w:lang w:val="en-US"/>
        </w:rPr>
        <w:t xml:space="preserve">relates to the loss of income from schools and additional staff cost to meet the </w:t>
      </w:r>
      <w:proofErr w:type="spellStart"/>
      <w:r w:rsidRPr="00CA0075">
        <w:rPr>
          <w:rFonts w:cs="Arial"/>
          <w:szCs w:val="24"/>
          <w:lang w:val="en-US"/>
        </w:rPr>
        <w:t>organi</w:t>
      </w:r>
      <w:r w:rsidR="00070FDB">
        <w:rPr>
          <w:rFonts w:cs="Arial"/>
          <w:szCs w:val="24"/>
          <w:lang w:val="en-US"/>
        </w:rPr>
        <w:t>s</w:t>
      </w:r>
      <w:r w:rsidRPr="00CA0075">
        <w:rPr>
          <w:rFonts w:cs="Arial"/>
          <w:szCs w:val="24"/>
          <w:lang w:val="en-US"/>
        </w:rPr>
        <w:t>ation</w:t>
      </w:r>
      <w:proofErr w:type="spellEnd"/>
      <w:r w:rsidRPr="00CA0075">
        <w:rPr>
          <w:rFonts w:cs="Arial"/>
          <w:szCs w:val="24"/>
          <w:lang w:val="en-US"/>
        </w:rPr>
        <w:t xml:space="preserve"> demand</w:t>
      </w:r>
      <w:r w:rsidR="00381A1C">
        <w:rPr>
          <w:rFonts w:cs="Arial"/>
          <w:szCs w:val="24"/>
          <w:lang w:val="en-US"/>
        </w:rPr>
        <w:t>.</w:t>
      </w:r>
      <w:r w:rsidR="00330B3A">
        <w:rPr>
          <w:rFonts w:cs="Arial"/>
          <w:szCs w:val="24"/>
          <w:lang w:val="en-US"/>
        </w:rPr>
        <w:t xml:space="preserve"> </w:t>
      </w:r>
      <w:r w:rsidR="00330B3A" w:rsidRPr="00825AC5">
        <w:rPr>
          <w:rFonts w:cs="Arial"/>
          <w:szCs w:val="24"/>
          <w:lang w:val="en-US"/>
        </w:rPr>
        <w:t xml:space="preserve">This is </w:t>
      </w:r>
      <w:r w:rsidR="000C154C">
        <w:rPr>
          <w:rFonts w:cs="Arial"/>
          <w:szCs w:val="24"/>
          <w:lang w:val="en-US"/>
        </w:rPr>
        <w:t>broadly in line with what was reported in</w:t>
      </w:r>
      <w:r w:rsidR="00330B3A" w:rsidRPr="00825AC5">
        <w:rPr>
          <w:rFonts w:cs="Arial"/>
          <w:szCs w:val="24"/>
          <w:lang w:val="en-US"/>
        </w:rPr>
        <w:t xml:space="preserve"> Q</w:t>
      </w:r>
      <w:r w:rsidR="009E2D95">
        <w:rPr>
          <w:rFonts w:cs="Arial"/>
          <w:szCs w:val="24"/>
          <w:lang w:val="en-US"/>
        </w:rPr>
        <w:t xml:space="preserve">uarter </w:t>
      </w:r>
      <w:r w:rsidR="00330B3A" w:rsidRPr="00825AC5">
        <w:rPr>
          <w:rFonts w:cs="Arial"/>
          <w:szCs w:val="24"/>
          <w:lang w:val="en-US"/>
        </w:rPr>
        <w:t>1.</w:t>
      </w:r>
    </w:p>
    <w:p w14:paraId="541036B6" w14:textId="77777777" w:rsidR="00566663" w:rsidRPr="00330B3A" w:rsidRDefault="00566663">
      <w:pPr>
        <w:pStyle w:val="ListParagraph"/>
        <w:ind w:left="567"/>
        <w:jc w:val="both"/>
        <w:rPr>
          <w:rFonts w:cs="Arial"/>
          <w:szCs w:val="24"/>
          <w:highlight w:val="yellow"/>
          <w:lang w:val="en-US"/>
        </w:rPr>
      </w:pPr>
    </w:p>
    <w:p w14:paraId="070DA301" w14:textId="398C2F31" w:rsidR="005054F7" w:rsidRPr="00825AC5" w:rsidRDefault="005054F7">
      <w:pPr>
        <w:pStyle w:val="ListParagraph"/>
        <w:numPr>
          <w:ilvl w:val="0"/>
          <w:numId w:val="14"/>
        </w:numPr>
        <w:ind w:left="567" w:hanging="567"/>
        <w:jc w:val="both"/>
        <w:rPr>
          <w:rFonts w:cs="Arial"/>
          <w:szCs w:val="24"/>
          <w:lang w:val="en-US"/>
        </w:rPr>
      </w:pPr>
      <w:r w:rsidRPr="005054F7">
        <w:rPr>
          <w:rFonts w:cs="Arial"/>
          <w:szCs w:val="24"/>
          <w:lang w:val="en-US"/>
        </w:rPr>
        <w:t>Procurement</w:t>
      </w:r>
      <w:r w:rsidR="00EF32D2">
        <w:rPr>
          <w:rFonts w:cs="Arial"/>
          <w:szCs w:val="24"/>
          <w:lang w:val="en-US"/>
        </w:rPr>
        <w:t xml:space="preserve"> are</w:t>
      </w:r>
      <w:r w:rsidRPr="005054F7">
        <w:rPr>
          <w:rFonts w:cs="Arial"/>
          <w:szCs w:val="24"/>
          <w:lang w:val="en-US"/>
        </w:rPr>
        <w:t xml:space="preserve"> foreca</w:t>
      </w:r>
      <w:r w:rsidR="00EF32D2">
        <w:rPr>
          <w:rFonts w:cs="Arial"/>
          <w:szCs w:val="24"/>
          <w:lang w:val="en-US"/>
        </w:rPr>
        <w:t>sting an</w:t>
      </w:r>
      <w:r w:rsidRPr="005054F7">
        <w:rPr>
          <w:rFonts w:cs="Arial"/>
          <w:szCs w:val="24"/>
          <w:lang w:val="en-US"/>
        </w:rPr>
        <w:t xml:space="preserve"> overspend of £103k</w:t>
      </w:r>
      <w:r w:rsidR="00D33134">
        <w:rPr>
          <w:rFonts w:cs="Arial"/>
          <w:szCs w:val="24"/>
          <w:lang w:val="en-US"/>
        </w:rPr>
        <w:t>,</w:t>
      </w:r>
      <w:r w:rsidRPr="005054F7">
        <w:rPr>
          <w:rFonts w:cs="Arial"/>
          <w:szCs w:val="24"/>
          <w:lang w:val="en-US"/>
        </w:rPr>
        <w:t xml:space="preserve"> which reflects the additional agency staff required in order to meet the council’s demand for procurement s</w:t>
      </w:r>
      <w:r w:rsidR="00562D59">
        <w:rPr>
          <w:rFonts w:cs="Arial"/>
          <w:szCs w:val="24"/>
          <w:lang w:val="en-US"/>
        </w:rPr>
        <w:t>upport</w:t>
      </w:r>
      <w:r w:rsidRPr="00825AC5">
        <w:rPr>
          <w:rFonts w:cs="Arial"/>
          <w:szCs w:val="24"/>
          <w:lang w:val="en-US"/>
        </w:rPr>
        <w:t xml:space="preserve">. </w:t>
      </w:r>
      <w:r w:rsidR="00566663" w:rsidRPr="00825AC5">
        <w:rPr>
          <w:rFonts w:cs="Arial"/>
          <w:szCs w:val="24"/>
          <w:lang w:val="en-US"/>
        </w:rPr>
        <w:t>Th</w:t>
      </w:r>
      <w:r w:rsidR="0041621A" w:rsidRPr="00825AC5">
        <w:rPr>
          <w:rFonts w:cs="Arial"/>
          <w:szCs w:val="24"/>
          <w:lang w:val="en-US"/>
        </w:rPr>
        <w:t xml:space="preserve">ere is no change from </w:t>
      </w:r>
      <w:r w:rsidR="00330B3A" w:rsidRPr="00825AC5">
        <w:rPr>
          <w:rFonts w:cs="Arial"/>
          <w:szCs w:val="24"/>
          <w:lang w:val="en-US"/>
        </w:rPr>
        <w:t>Q</w:t>
      </w:r>
      <w:r w:rsidR="009E2D95">
        <w:rPr>
          <w:rFonts w:cs="Arial"/>
          <w:szCs w:val="24"/>
          <w:lang w:val="en-US"/>
        </w:rPr>
        <w:t xml:space="preserve">uarter </w:t>
      </w:r>
      <w:r w:rsidR="00330B3A" w:rsidRPr="00825AC5">
        <w:rPr>
          <w:rFonts w:cs="Arial"/>
          <w:szCs w:val="24"/>
          <w:lang w:val="en-US"/>
        </w:rPr>
        <w:t>1.</w:t>
      </w:r>
    </w:p>
    <w:p w14:paraId="6E45E1EE" w14:textId="77777777" w:rsidR="005054F7" w:rsidRPr="005054F7" w:rsidRDefault="005054F7" w:rsidP="00825AC5">
      <w:pPr>
        <w:pStyle w:val="ListParagraph"/>
        <w:jc w:val="both"/>
        <w:rPr>
          <w:rFonts w:cs="Arial"/>
          <w:szCs w:val="24"/>
          <w:lang w:val="en-US"/>
        </w:rPr>
      </w:pPr>
    </w:p>
    <w:p w14:paraId="5DB2BEC4" w14:textId="2C7B046C" w:rsidR="00CA0075" w:rsidRDefault="008B07FC">
      <w:pPr>
        <w:pStyle w:val="ListParagraph"/>
        <w:numPr>
          <w:ilvl w:val="0"/>
          <w:numId w:val="14"/>
        </w:numPr>
        <w:ind w:left="567" w:hanging="567"/>
        <w:jc w:val="both"/>
        <w:rPr>
          <w:rFonts w:cs="Arial"/>
          <w:szCs w:val="24"/>
          <w:lang w:val="en-US"/>
        </w:rPr>
      </w:pPr>
      <w:r w:rsidRPr="0041621A">
        <w:rPr>
          <w:rFonts w:cs="Arial"/>
          <w:szCs w:val="24"/>
          <w:lang w:val="en-US"/>
        </w:rPr>
        <w:t xml:space="preserve">The above overspends are </w:t>
      </w:r>
      <w:r w:rsidR="00562D59">
        <w:rPr>
          <w:rFonts w:cs="Arial"/>
          <w:szCs w:val="24"/>
          <w:lang w:val="en-US"/>
        </w:rPr>
        <w:t xml:space="preserve">partly mitigated by a </w:t>
      </w:r>
      <w:r w:rsidR="00CA0075" w:rsidRPr="00FE1CBA">
        <w:rPr>
          <w:rFonts w:cs="Arial"/>
          <w:szCs w:val="24"/>
          <w:lang w:val="en-US"/>
        </w:rPr>
        <w:t xml:space="preserve">net </w:t>
      </w:r>
      <w:r w:rsidR="00004286" w:rsidRPr="0041621A">
        <w:rPr>
          <w:rFonts w:cs="Arial"/>
          <w:szCs w:val="24"/>
          <w:lang w:val="en-US"/>
        </w:rPr>
        <w:t xml:space="preserve">underspend of </w:t>
      </w:r>
      <w:r w:rsidR="00330B3A" w:rsidRPr="0041621A">
        <w:rPr>
          <w:rFonts w:cs="Arial"/>
          <w:szCs w:val="24"/>
          <w:lang w:val="en-US"/>
        </w:rPr>
        <w:t>(£291K)</w:t>
      </w:r>
      <w:r w:rsidR="004E3277">
        <w:rPr>
          <w:rFonts w:cs="Arial"/>
          <w:szCs w:val="24"/>
          <w:lang w:val="en-US"/>
        </w:rPr>
        <w:t xml:space="preserve"> in Legal and Governance </w:t>
      </w:r>
      <w:r w:rsidR="00330B3A" w:rsidRPr="0041621A">
        <w:rPr>
          <w:rFonts w:cs="Arial"/>
          <w:szCs w:val="24"/>
          <w:lang w:val="en-US"/>
        </w:rPr>
        <w:t xml:space="preserve">which </w:t>
      </w:r>
      <w:r w:rsidR="004E3277">
        <w:rPr>
          <w:rFonts w:cs="Arial"/>
          <w:szCs w:val="24"/>
          <w:lang w:val="en-US"/>
        </w:rPr>
        <w:t>reflect additional</w:t>
      </w:r>
      <w:r w:rsidR="00CA0075" w:rsidRPr="0041621A">
        <w:rPr>
          <w:rFonts w:cs="Arial"/>
          <w:szCs w:val="24"/>
          <w:lang w:val="en-US"/>
        </w:rPr>
        <w:t xml:space="preserve"> </w:t>
      </w:r>
      <w:r w:rsidR="006E1B96" w:rsidRPr="0041621A">
        <w:rPr>
          <w:rFonts w:cs="Arial"/>
          <w:szCs w:val="24"/>
          <w:lang w:val="en-US"/>
        </w:rPr>
        <w:t>projected</w:t>
      </w:r>
      <w:r w:rsidR="00F979D0" w:rsidRPr="0041621A">
        <w:rPr>
          <w:rFonts w:cs="Arial"/>
          <w:szCs w:val="24"/>
          <w:lang w:val="en-US"/>
        </w:rPr>
        <w:t xml:space="preserve"> income from Land Charges and R</w:t>
      </w:r>
      <w:r w:rsidR="00CA0075" w:rsidRPr="0041621A">
        <w:rPr>
          <w:rFonts w:cs="Arial"/>
          <w:szCs w:val="24"/>
          <w:lang w:val="en-US"/>
        </w:rPr>
        <w:t>egis</w:t>
      </w:r>
      <w:r w:rsidR="00F979D0" w:rsidRPr="0041621A">
        <w:rPr>
          <w:rFonts w:cs="Arial"/>
          <w:szCs w:val="24"/>
          <w:lang w:val="en-US"/>
        </w:rPr>
        <w:t>tration S</w:t>
      </w:r>
      <w:r w:rsidR="00CA0075" w:rsidRPr="0041621A">
        <w:rPr>
          <w:rFonts w:cs="Arial"/>
          <w:szCs w:val="24"/>
          <w:lang w:val="en-US"/>
        </w:rPr>
        <w:t xml:space="preserve">ervices due to high demand and </w:t>
      </w:r>
      <w:r w:rsidR="00330B3A" w:rsidRPr="0041621A">
        <w:rPr>
          <w:rFonts w:cs="Arial"/>
          <w:szCs w:val="24"/>
          <w:lang w:val="en-US"/>
        </w:rPr>
        <w:t xml:space="preserve">small </w:t>
      </w:r>
      <w:r w:rsidR="00CA0075" w:rsidRPr="0041621A">
        <w:rPr>
          <w:rFonts w:cs="Arial"/>
          <w:szCs w:val="24"/>
          <w:lang w:val="en-US"/>
        </w:rPr>
        <w:t>underspends</w:t>
      </w:r>
      <w:r w:rsidR="004E3277">
        <w:rPr>
          <w:rFonts w:cs="Arial"/>
          <w:szCs w:val="24"/>
          <w:lang w:val="en-US"/>
        </w:rPr>
        <w:t xml:space="preserve"> across the legal practice</w:t>
      </w:r>
      <w:r w:rsidR="0041621A" w:rsidRPr="00825AC5">
        <w:rPr>
          <w:rFonts w:cs="Arial"/>
          <w:szCs w:val="24"/>
          <w:lang w:val="en-US"/>
        </w:rPr>
        <w:t>.</w:t>
      </w:r>
    </w:p>
    <w:p w14:paraId="5B46B875" w14:textId="77777777" w:rsidR="00E666AE" w:rsidRPr="00E666AE" w:rsidRDefault="00E666AE" w:rsidP="00825AC5">
      <w:pPr>
        <w:pStyle w:val="ListParagraph"/>
        <w:jc w:val="both"/>
        <w:rPr>
          <w:rFonts w:cs="Arial"/>
          <w:szCs w:val="24"/>
          <w:lang w:val="en-US"/>
        </w:rPr>
      </w:pPr>
    </w:p>
    <w:p w14:paraId="46B613E6" w14:textId="77777777" w:rsidR="00D67CC6" w:rsidRPr="0041621A" w:rsidRDefault="00D67CC6">
      <w:pPr>
        <w:jc w:val="both"/>
        <w:rPr>
          <w:rFonts w:cs="Arial"/>
          <w:b/>
          <w:szCs w:val="24"/>
          <w:u w:val="single"/>
        </w:rPr>
      </w:pPr>
    </w:p>
    <w:p w14:paraId="4EDCF3E7" w14:textId="77777777" w:rsidR="00C43D14" w:rsidRPr="009E4B36" w:rsidRDefault="00F608F4">
      <w:pPr>
        <w:ind w:left="567"/>
        <w:jc w:val="both"/>
        <w:rPr>
          <w:rFonts w:cs="Arial"/>
          <w:b/>
          <w:szCs w:val="24"/>
          <w:u w:val="single"/>
          <w:lang w:val="en-US"/>
        </w:rPr>
      </w:pPr>
      <w:r w:rsidRPr="009E4B36">
        <w:rPr>
          <w:rFonts w:cs="Arial"/>
          <w:b/>
          <w:szCs w:val="24"/>
          <w:u w:val="single"/>
          <w:lang w:val="en-US"/>
        </w:rPr>
        <w:t xml:space="preserve">COMMUNITY </w:t>
      </w:r>
    </w:p>
    <w:p w14:paraId="510F3697" w14:textId="6D3FD7CF" w:rsidR="008940FC" w:rsidRPr="00933B50" w:rsidRDefault="00C43D14" w:rsidP="00825AC5">
      <w:pPr>
        <w:ind w:left="567"/>
        <w:jc w:val="both"/>
        <w:rPr>
          <w:rFonts w:cs="Arial"/>
          <w:szCs w:val="24"/>
        </w:rPr>
      </w:pPr>
      <w:r w:rsidRPr="0055733D">
        <w:rPr>
          <w:rFonts w:cs="Arial"/>
          <w:szCs w:val="24"/>
        </w:rPr>
        <w:t xml:space="preserve">At Quarter </w:t>
      </w:r>
      <w:r w:rsidR="00192915">
        <w:rPr>
          <w:rFonts w:cs="Arial"/>
          <w:szCs w:val="24"/>
        </w:rPr>
        <w:t>2</w:t>
      </w:r>
      <w:r w:rsidRPr="0055733D">
        <w:rPr>
          <w:rFonts w:cs="Arial"/>
          <w:szCs w:val="24"/>
        </w:rPr>
        <w:t xml:space="preserve">, </w:t>
      </w:r>
      <w:r w:rsidR="00192915">
        <w:rPr>
          <w:rFonts w:cs="Arial"/>
          <w:szCs w:val="24"/>
        </w:rPr>
        <w:t xml:space="preserve">the </w:t>
      </w:r>
      <w:r w:rsidR="004E3277">
        <w:rPr>
          <w:rFonts w:cs="Arial"/>
          <w:szCs w:val="24"/>
        </w:rPr>
        <w:t>d</w:t>
      </w:r>
      <w:r w:rsidRPr="0055733D">
        <w:rPr>
          <w:rFonts w:cs="Arial"/>
          <w:szCs w:val="24"/>
        </w:rPr>
        <w:t xml:space="preserve">irectorate </w:t>
      </w:r>
      <w:r w:rsidR="004E3277">
        <w:rPr>
          <w:rFonts w:cs="Arial"/>
          <w:szCs w:val="24"/>
        </w:rPr>
        <w:t xml:space="preserve">is </w:t>
      </w:r>
      <w:r w:rsidR="006226AE" w:rsidRPr="00005F26">
        <w:rPr>
          <w:rFonts w:cs="Arial"/>
          <w:szCs w:val="24"/>
        </w:rPr>
        <w:t>forecast</w:t>
      </w:r>
      <w:r w:rsidR="004E3277">
        <w:rPr>
          <w:rFonts w:cs="Arial"/>
          <w:szCs w:val="24"/>
        </w:rPr>
        <w:t>ing</w:t>
      </w:r>
      <w:r w:rsidR="006226AE" w:rsidRPr="00005F26">
        <w:rPr>
          <w:rFonts w:cs="Arial"/>
          <w:szCs w:val="24"/>
        </w:rPr>
        <w:t xml:space="preserve"> </w:t>
      </w:r>
      <w:r w:rsidR="006226AE" w:rsidRPr="00F548CD">
        <w:rPr>
          <w:rFonts w:cs="Arial"/>
          <w:szCs w:val="24"/>
        </w:rPr>
        <w:t>an over spend</w:t>
      </w:r>
      <w:r w:rsidR="008940FC" w:rsidRPr="00F548CD">
        <w:rPr>
          <w:rFonts w:cs="Arial"/>
          <w:szCs w:val="24"/>
        </w:rPr>
        <w:t xml:space="preserve"> </w:t>
      </w:r>
      <w:r w:rsidR="00CB6DCF" w:rsidRPr="00933B50">
        <w:rPr>
          <w:rFonts w:cs="Arial"/>
          <w:szCs w:val="24"/>
        </w:rPr>
        <w:t>of</w:t>
      </w:r>
      <w:r w:rsidRPr="00933B50">
        <w:rPr>
          <w:rFonts w:cs="Arial"/>
          <w:szCs w:val="24"/>
        </w:rPr>
        <w:t xml:space="preserve"> </w:t>
      </w:r>
      <w:r w:rsidR="009B67AB" w:rsidRPr="00933B50">
        <w:rPr>
          <w:rFonts w:cs="Arial"/>
          <w:szCs w:val="24"/>
        </w:rPr>
        <w:t>£</w:t>
      </w:r>
      <w:r w:rsidR="00192915">
        <w:rPr>
          <w:rFonts w:cs="Arial"/>
          <w:szCs w:val="24"/>
        </w:rPr>
        <w:t>3.060m</w:t>
      </w:r>
      <w:r w:rsidR="00525691">
        <w:rPr>
          <w:rFonts w:cs="Arial"/>
          <w:szCs w:val="24"/>
        </w:rPr>
        <w:t xml:space="preserve">. </w:t>
      </w:r>
      <w:r w:rsidR="00525691" w:rsidRPr="00525691">
        <w:rPr>
          <w:rFonts w:cs="Arial"/>
          <w:szCs w:val="24"/>
        </w:rPr>
        <w:t>An increa</w:t>
      </w:r>
      <w:r w:rsidR="00525691">
        <w:rPr>
          <w:rFonts w:cs="Arial"/>
          <w:szCs w:val="24"/>
        </w:rPr>
        <w:t xml:space="preserve">se in forecast overspend of £2.237m when compared to </w:t>
      </w:r>
      <w:r w:rsidR="0041291A">
        <w:rPr>
          <w:rFonts w:cs="Arial"/>
          <w:szCs w:val="24"/>
        </w:rPr>
        <w:t>Q</w:t>
      </w:r>
      <w:r w:rsidR="004E3277">
        <w:rPr>
          <w:rFonts w:cs="Arial"/>
          <w:szCs w:val="24"/>
        </w:rPr>
        <w:t>uarter 1.</w:t>
      </w:r>
    </w:p>
    <w:p w14:paraId="5A055765" w14:textId="77777777" w:rsidR="009D69C5" w:rsidRDefault="009D69C5">
      <w:pPr>
        <w:pStyle w:val="ListParagraph"/>
        <w:ind w:left="567"/>
        <w:jc w:val="both"/>
        <w:rPr>
          <w:rFonts w:cs="Arial"/>
          <w:b/>
          <w:szCs w:val="24"/>
          <w:u w:val="single"/>
          <w:lang w:val="en-US"/>
        </w:rPr>
      </w:pPr>
    </w:p>
    <w:p w14:paraId="1F6636C5" w14:textId="77777777" w:rsidR="00764F3C" w:rsidRDefault="00EB3E04">
      <w:pPr>
        <w:pStyle w:val="ListParagraph"/>
        <w:ind w:left="567"/>
        <w:jc w:val="both"/>
        <w:rPr>
          <w:rFonts w:cs="Arial"/>
          <w:b/>
          <w:szCs w:val="24"/>
          <w:u w:val="single"/>
          <w:lang w:val="en-US"/>
        </w:rPr>
      </w:pPr>
      <w:r w:rsidRPr="007C0D59">
        <w:rPr>
          <w:rFonts w:cs="Arial"/>
          <w:b/>
          <w:szCs w:val="24"/>
          <w:u w:val="single"/>
          <w:lang w:val="en-US"/>
        </w:rPr>
        <w:t>Table 3:</w:t>
      </w:r>
      <w:r w:rsidR="00CB6DCF" w:rsidRPr="007C0D59">
        <w:rPr>
          <w:rFonts w:cs="Arial"/>
          <w:b/>
          <w:szCs w:val="24"/>
          <w:u w:val="single"/>
          <w:lang w:val="en-US"/>
        </w:rPr>
        <w:t xml:space="preserve"> Community</w:t>
      </w:r>
      <w:r w:rsidRPr="007C0D59">
        <w:rPr>
          <w:rFonts w:cs="Arial"/>
          <w:b/>
          <w:szCs w:val="24"/>
          <w:u w:val="single"/>
          <w:lang w:val="en-US"/>
        </w:rPr>
        <w:t xml:space="preserve"> Directorate </w:t>
      </w:r>
      <w:r w:rsidR="00A515CA">
        <w:rPr>
          <w:rFonts w:cs="Arial"/>
          <w:b/>
          <w:szCs w:val="24"/>
          <w:u w:val="single"/>
          <w:lang w:val="en-US"/>
        </w:rPr>
        <w:t>V</w:t>
      </w:r>
      <w:r w:rsidRPr="007C0D59">
        <w:rPr>
          <w:rFonts w:cs="Arial"/>
          <w:b/>
          <w:szCs w:val="24"/>
          <w:u w:val="single"/>
          <w:lang w:val="en-US"/>
        </w:rPr>
        <w:t>ariance</w:t>
      </w:r>
      <w:r w:rsidR="00764F3C">
        <w:rPr>
          <w:rFonts w:cs="Arial"/>
          <w:b/>
          <w:szCs w:val="24"/>
          <w:u w:val="single"/>
          <w:lang w:val="en-US"/>
        </w:rPr>
        <w:t xml:space="preserve"> </w:t>
      </w:r>
    </w:p>
    <w:tbl>
      <w:tblPr>
        <w:tblW w:w="9290" w:type="dxa"/>
        <w:tblInd w:w="675" w:type="dxa"/>
        <w:tblLook w:val="04A0" w:firstRow="1" w:lastRow="0" w:firstColumn="1" w:lastColumn="0" w:noHBand="0" w:noVBand="1"/>
      </w:tblPr>
      <w:tblGrid>
        <w:gridCol w:w="2665"/>
        <w:gridCol w:w="1160"/>
        <w:gridCol w:w="1240"/>
        <w:gridCol w:w="1340"/>
        <w:gridCol w:w="1520"/>
        <w:gridCol w:w="1365"/>
      </w:tblGrid>
      <w:tr w:rsidR="00764F3C" w:rsidRPr="00764F3C" w14:paraId="405F77E0" w14:textId="77777777" w:rsidTr="00825AC5">
        <w:trPr>
          <w:trHeight w:val="1140"/>
        </w:trPr>
        <w:tc>
          <w:tcPr>
            <w:tcW w:w="2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FF5D7"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Service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996FD84"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Revised Budget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0888493"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Net Forecast Spend at Quarter 2</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3052CA27"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Quarter 2 Variance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73221055"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 xml:space="preserve">Quarter 1 Variance </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7CD988BB"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Movement between Q2 and Q1</w:t>
            </w:r>
          </w:p>
        </w:tc>
      </w:tr>
      <w:tr w:rsidR="00764F3C" w:rsidRPr="00764F3C" w14:paraId="5A4B936F" w14:textId="77777777" w:rsidTr="00825AC5">
        <w:trPr>
          <w:trHeight w:val="276"/>
        </w:trPr>
        <w:tc>
          <w:tcPr>
            <w:tcW w:w="2665" w:type="dxa"/>
            <w:tcBorders>
              <w:top w:val="nil"/>
              <w:left w:val="single" w:sz="4" w:space="0" w:color="auto"/>
              <w:bottom w:val="single" w:sz="4" w:space="0" w:color="auto"/>
              <w:right w:val="single" w:sz="4" w:space="0" w:color="auto"/>
            </w:tcBorders>
            <w:shd w:val="clear" w:color="auto" w:fill="auto"/>
            <w:vAlign w:val="bottom"/>
            <w:hideMark/>
          </w:tcPr>
          <w:p w14:paraId="2986B5A7"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2FF38303"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2BF5DE89"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1266FC73"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3EF709E"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£'000</w:t>
            </w:r>
          </w:p>
        </w:tc>
        <w:tc>
          <w:tcPr>
            <w:tcW w:w="1365" w:type="dxa"/>
            <w:tcBorders>
              <w:top w:val="nil"/>
              <w:left w:val="nil"/>
              <w:bottom w:val="single" w:sz="4" w:space="0" w:color="auto"/>
              <w:right w:val="single" w:sz="4" w:space="0" w:color="auto"/>
            </w:tcBorders>
            <w:shd w:val="clear" w:color="auto" w:fill="auto"/>
            <w:noWrap/>
            <w:vAlign w:val="bottom"/>
            <w:hideMark/>
          </w:tcPr>
          <w:p w14:paraId="63C010A6"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£'000</w:t>
            </w:r>
          </w:p>
        </w:tc>
      </w:tr>
      <w:tr w:rsidR="00764F3C" w:rsidRPr="00764F3C" w14:paraId="6CDBAFE7" w14:textId="77777777" w:rsidTr="00825AC5">
        <w:trPr>
          <w:trHeight w:val="276"/>
        </w:trPr>
        <w:tc>
          <w:tcPr>
            <w:tcW w:w="2665" w:type="dxa"/>
            <w:tcBorders>
              <w:top w:val="nil"/>
              <w:left w:val="single" w:sz="4" w:space="0" w:color="auto"/>
              <w:bottom w:val="single" w:sz="4" w:space="0" w:color="auto"/>
              <w:right w:val="single" w:sz="4" w:space="0" w:color="auto"/>
            </w:tcBorders>
            <w:shd w:val="clear" w:color="auto" w:fill="auto"/>
            <w:vAlign w:val="bottom"/>
            <w:hideMark/>
          </w:tcPr>
          <w:p w14:paraId="2063EF14"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Environment &amp;Culture</w:t>
            </w:r>
          </w:p>
        </w:tc>
        <w:tc>
          <w:tcPr>
            <w:tcW w:w="1160" w:type="dxa"/>
            <w:tcBorders>
              <w:top w:val="nil"/>
              <w:left w:val="nil"/>
              <w:bottom w:val="single" w:sz="4" w:space="0" w:color="auto"/>
              <w:right w:val="single" w:sz="4" w:space="0" w:color="auto"/>
            </w:tcBorders>
            <w:shd w:val="clear" w:color="000000" w:fill="FFFFFF"/>
            <w:noWrap/>
            <w:vAlign w:val="bottom"/>
            <w:hideMark/>
          </w:tcPr>
          <w:p w14:paraId="34D79F5E" w14:textId="77777777" w:rsidR="00764F3C" w:rsidRPr="00764F3C" w:rsidRDefault="00764F3C" w:rsidP="00825AC5">
            <w:pPr>
              <w:jc w:val="both"/>
              <w:rPr>
                <w:rFonts w:cs="Arial"/>
                <w:sz w:val="22"/>
                <w:szCs w:val="22"/>
                <w:lang w:eastAsia="en-GB"/>
              </w:rPr>
            </w:pPr>
            <w:r w:rsidRPr="00764F3C">
              <w:rPr>
                <w:rFonts w:cs="Arial"/>
                <w:sz w:val="22"/>
                <w:szCs w:val="22"/>
                <w:lang w:eastAsia="en-GB"/>
              </w:rPr>
              <w:t>21,267</w:t>
            </w:r>
          </w:p>
        </w:tc>
        <w:tc>
          <w:tcPr>
            <w:tcW w:w="1240" w:type="dxa"/>
            <w:tcBorders>
              <w:top w:val="nil"/>
              <w:left w:val="nil"/>
              <w:bottom w:val="single" w:sz="4" w:space="0" w:color="auto"/>
              <w:right w:val="single" w:sz="4" w:space="0" w:color="auto"/>
            </w:tcBorders>
            <w:shd w:val="clear" w:color="000000" w:fill="FFFFFF"/>
            <w:noWrap/>
            <w:vAlign w:val="bottom"/>
            <w:hideMark/>
          </w:tcPr>
          <w:p w14:paraId="4F09AF77" w14:textId="77777777" w:rsidR="00764F3C" w:rsidRPr="00764F3C" w:rsidRDefault="00764F3C" w:rsidP="00825AC5">
            <w:pPr>
              <w:jc w:val="both"/>
              <w:rPr>
                <w:rFonts w:cs="Arial"/>
                <w:sz w:val="22"/>
                <w:szCs w:val="22"/>
                <w:lang w:eastAsia="en-GB"/>
              </w:rPr>
            </w:pPr>
            <w:r w:rsidRPr="00764F3C">
              <w:rPr>
                <w:rFonts w:cs="Arial"/>
                <w:sz w:val="22"/>
                <w:szCs w:val="22"/>
                <w:lang w:eastAsia="en-GB"/>
              </w:rPr>
              <w:t>22,184</w:t>
            </w:r>
          </w:p>
        </w:tc>
        <w:tc>
          <w:tcPr>
            <w:tcW w:w="1340" w:type="dxa"/>
            <w:tcBorders>
              <w:top w:val="nil"/>
              <w:left w:val="nil"/>
              <w:bottom w:val="single" w:sz="4" w:space="0" w:color="auto"/>
              <w:right w:val="single" w:sz="4" w:space="0" w:color="auto"/>
            </w:tcBorders>
            <w:shd w:val="clear" w:color="000000" w:fill="FFFFFF"/>
            <w:noWrap/>
            <w:vAlign w:val="bottom"/>
            <w:hideMark/>
          </w:tcPr>
          <w:p w14:paraId="419D4BA9" w14:textId="77777777" w:rsidR="00764F3C" w:rsidRPr="00764F3C" w:rsidRDefault="00764F3C" w:rsidP="00825AC5">
            <w:pPr>
              <w:jc w:val="both"/>
              <w:rPr>
                <w:rFonts w:cs="Arial"/>
                <w:sz w:val="22"/>
                <w:szCs w:val="22"/>
                <w:lang w:eastAsia="en-GB"/>
              </w:rPr>
            </w:pPr>
            <w:r w:rsidRPr="00764F3C">
              <w:rPr>
                <w:rFonts w:cs="Arial"/>
                <w:sz w:val="22"/>
                <w:szCs w:val="22"/>
                <w:lang w:eastAsia="en-GB"/>
              </w:rPr>
              <w:t>917</w:t>
            </w:r>
          </w:p>
        </w:tc>
        <w:tc>
          <w:tcPr>
            <w:tcW w:w="1520" w:type="dxa"/>
            <w:tcBorders>
              <w:top w:val="nil"/>
              <w:left w:val="nil"/>
              <w:bottom w:val="single" w:sz="4" w:space="0" w:color="auto"/>
              <w:right w:val="single" w:sz="4" w:space="0" w:color="auto"/>
            </w:tcBorders>
            <w:shd w:val="clear" w:color="000000" w:fill="FFFFFF"/>
            <w:noWrap/>
            <w:vAlign w:val="bottom"/>
            <w:hideMark/>
          </w:tcPr>
          <w:p w14:paraId="4A6C6DA8" w14:textId="77777777" w:rsidR="00764F3C" w:rsidRPr="00764F3C" w:rsidRDefault="00764F3C" w:rsidP="00825AC5">
            <w:pPr>
              <w:jc w:val="both"/>
              <w:rPr>
                <w:rFonts w:cs="Arial"/>
                <w:sz w:val="22"/>
                <w:szCs w:val="22"/>
                <w:lang w:eastAsia="en-GB"/>
              </w:rPr>
            </w:pPr>
            <w:r w:rsidRPr="00764F3C">
              <w:rPr>
                <w:rFonts w:cs="Arial"/>
                <w:sz w:val="22"/>
                <w:szCs w:val="22"/>
                <w:lang w:eastAsia="en-GB"/>
              </w:rPr>
              <w:t>569</w:t>
            </w:r>
          </w:p>
        </w:tc>
        <w:tc>
          <w:tcPr>
            <w:tcW w:w="1365" w:type="dxa"/>
            <w:tcBorders>
              <w:top w:val="nil"/>
              <w:left w:val="nil"/>
              <w:bottom w:val="single" w:sz="4" w:space="0" w:color="auto"/>
              <w:right w:val="single" w:sz="4" w:space="0" w:color="auto"/>
            </w:tcBorders>
            <w:shd w:val="clear" w:color="000000" w:fill="FFFFFF"/>
            <w:noWrap/>
            <w:vAlign w:val="bottom"/>
            <w:hideMark/>
          </w:tcPr>
          <w:p w14:paraId="3CB7A903" w14:textId="77777777" w:rsidR="00764F3C" w:rsidRPr="00764F3C" w:rsidRDefault="00764F3C" w:rsidP="00825AC5">
            <w:pPr>
              <w:jc w:val="both"/>
              <w:rPr>
                <w:rFonts w:cs="Arial"/>
                <w:sz w:val="22"/>
                <w:szCs w:val="22"/>
                <w:lang w:eastAsia="en-GB"/>
              </w:rPr>
            </w:pPr>
            <w:r w:rsidRPr="00764F3C">
              <w:rPr>
                <w:rFonts w:cs="Arial"/>
                <w:sz w:val="22"/>
                <w:szCs w:val="22"/>
                <w:lang w:eastAsia="en-GB"/>
              </w:rPr>
              <w:t>348</w:t>
            </w:r>
          </w:p>
        </w:tc>
      </w:tr>
      <w:tr w:rsidR="00764F3C" w:rsidRPr="00764F3C" w14:paraId="069D3DEA" w14:textId="77777777" w:rsidTr="00825AC5">
        <w:trPr>
          <w:trHeight w:val="552"/>
        </w:trPr>
        <w:tc>
          <w:tcPr>
            <w:tcW w:w="2665" w:type="dxa"/>
            <w:tcBorders>
              <w:top w:val="nil"/>
              <w:left w:val="single" w:sz="4" w:space="0" w:color="auto"/>
              <w:bottom w:val="single" w:sz="4" w:space="0" w:color="auto"/>
              <w:right w:val="single" w:sz="4" w:space="0" w:color="auto"/>
            </w:tcBorders>
            <w:shd w:val="clear" w:color="auto" w:fill="auto"/>
            <w:vAlign w:val="bottom"/>
            <w:hideMark/>
          </w:tcPr>
          <w:p w14:paraId="42F82CA0"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Commissioning &amp; Commercial Services</w:t>
            </w:r>
          </w:p>
        </w:tc>
        <w:tc>
          <w:tcPr>
            <w:tcW w:w="1160" w:type="dxa"/>
            <w:tcBorders>
              <w:top w:val="nil"/>
              <w:left w:val="nil"/>
              <w:bottom w:val="single" w:sz="4" w:space="0" w:color="auto"/>
              <w:right w:val="single" w:sz="4" w:space="0" w:color="auto"/>
            </w:tcBorders>
            <w:shd w:val="clear" w:color="000000" w:fill="FFFFFF"/>
            <w:noWrap/>
            <w:vAlign w:val="bottom"/>
            <w:hideMark/>
          </w:tcPr>
          <w:p w14:paraId="45D4CBC5" w14:textId="77777777" w:rsidR="00764F3C" w:rsidRPr="00764F3C" w:rsidRDefault="00764F3C" w:rsidP="00825AC5">
            <w:pPr>
              <w:jc w:val="both"/>
              <w:rPr>
                <w:rFonts w:cs="Arial"/>
                <w:sz w:val="22"/>
                <w:szCs w:val="22"/>
                <w:lang w:eastAsia="en-GB"/>
              </w:rPr>
            </w:pPr>
            <w:r w:rsidRPr="00764F3C">
              <w:rPr>
                <w:rFonts w:cs="Arial"/>
                <w:sz w:val="22"/>
                <w:szCs w:val="22"/>
                <w:lang w:eastAsia="en-GB"/>
              </w:rPr>
              <w:t>(5,489)</w:t>
            </w:r>
          </w:p>
        </w:tc>
        <w:tc>
          <w:tcPr>
            <w:tcW w:w="1240" w:type="dxa"/>
            <w:tcBorders>
              <w:top w:val="nil"/>
              <w:left w:val="nil"/>
              <w:bottom w:val="single" w:sz="4" w:space="0" w:color="auto"/>
              <w:right w:val="single" w:sz="4" w:space="0" w:color="auto"/>
            </w:tcBorders>
            <w:shd w:val="clear" w:color="000000" w:fill="FFFFFF"/>
            <w:noWrap/>
            <w:vAlign w:val="bottom"/>
            <w:hideMark/>
          </w:tcPr>
          <w:p w14:paraId="0F9A0FA6" w14:textId="77777777" w:rsidR="00764F3C" w:rsidRPr="00764F3C" w:rsidRDefault="00764F3C" w:rsidP="00825AC5">
            <w:pPr>
              <w:jc w:val="both"/>
              <w:rPr>
                <w:rFonts w:cs="Arial"/>
                <w:sz w:val="22"/>
                <w:szCs w:val="22"/>
                <w:lang w:eastAsia="en-GB"/>
              </w:rPr>
            </w:pPr>
            <w:r w:rsidRPr="00764F3C">
              <w:rPr>
                <w:rFonts w:cs="Arial"/>
                <w:sz w:val="22"/>
                <w:szCs w:val="22"/>
                <w:lang w:eastAsia="en-GB"/>
              </w:rPr>
              <w:t>(3,346)</w:t>
            </w:r>
          </w:p>
        </w:tc>
        <w:tc>
          <w:tcPr>
            <w:tcW w:w="1340" w:type="dxa"/>
            <w:tcBorders>
              <w:top w:val="nil"/>
              <w:left w:val="nil"/>
              <w:bottom w:val="single" w:sz="4" w:space="0" w:color="auto"/>
              <w:right w:val="single" w:sz="4" w:space="0" w:color="auto"/>
            </w:tcBorders>
            <w:shd w:val="clear" w:color="000000" w:fill="FFFFFF"/>
            <w:noWrap/>
            <w:vAlign w:val="bottom"/>
            <w:hideMark/>
          </w:tcPr>
          <w:p w14:paraId="245706EF" w14:textId="77777777" w:rsidR="00764F3C" w:rsidRPr="00764F3C" w:rsidRDefault="00764F3C" w:rsidP="00825AC5">
            <w:pPr>
              <w:jc w:val="both"/>
              <w:rPr>
                <w:rFonts w:cs="Arial"/>
                <w:sz w:val="22"/>
                <w:szCs w:val="22"/>
                <w:lang w:eastAsia="en-GB"/>
              </w:rPr>
            </w:pPr>
            <w:r w:rsidRPr="00764F3C">
              <w:rPr>
                <w:rFonts w:cs="Arial"/>
                <w:sz w:val="22"/>
                <w:szCs w:val="22"/>
                <w:lang w:eastAsia="en-GB"/>
              </w:rPr>
              <w:t>2,143</w:t>
            </w:r>
          </w:p>
        </w:tc>
        <w:tc>
          <w:tcPr>
            <w:tcW w:w="1520" w:type="dxa"/>
            <w:tcBorders>
              <w:top w:val="nil"/>
              <w:left w:val="nil"/>
              <w:bottom w:val="single" w:sz="4" w:space="0" w:color="auto"/>
              <w:right w:val="single" w:sz="4" w:space="0" w:color="auto"/>
            </w:tcBorders>
            <w:shd w:val="clear" w:color="000000" w:fill="FFFFFF"/>
            <w:noWrap/>
            <w:vAlign w:val="bottom"/>
            <w:hideMark/>
          </w:tcPr>
          <w:p w14:paraId="39B1B812" w14:textId="77777777" w:rsidR="00764F3C" w:rsidRPr="00764F3C" w:rsidRDefault="00764F3C" w:rsidP="00825AC5">
            <w:pPr>
              <w:jc w:val="both"/>
              <w:rPr>
                <w:rFonts w:cs="Arial"/>
                <w:sz w:val="22"/>
                <w:szCs w:val="22"/>
                <w:lang w:eastAsia="en-GB"/>
              </w:rPr>
            </w:pPr>
            <w:r w:rsidRPr="00764F3C">
              <w:rPr>
                <w:rFonts w:cs="Arial"/>
                <w:sz w:val="22"/>
                <w:szCs w:val="22"/>
                <w:lang w:eastAsia="en-GB"/>
              </w:rPr>
              <w:t>254</w:t>
            </w:r>
          </w:p>
        </w:tc>
        <w:tc>
          <w:tcPr>
            <w:tcW w:w="1365" w:type="dxa"/>
            <w:tcBorders>
              <w:top w:val="nil"/>
              <w:left w:val="nil"/>
              <w:bottom w:val="single" w:sz="4" w:space="0" w:color="auto"/>
              <w:right w:val="single" w:sz="4" w:space="0" w:color="auto"/>
            </w:tcBorders>
            <w:shd w:val="clear" w:color="000000" w:fill="FFFFFF"/>
            <w:noWrap/>
            <w:vAlign w:val="bottom"/>
            <w:hideMark/>
          </w:tcPr>
          <w:p w14:paraId="71EF5BAF" w14:textId="77777777" w:rsidR="00764F3C" w:rsidRPr="00764F3C" w:rsidRDefault="00764F3C" w:rsidP="00825AC5">
            <w:pPr>
              <w:jc w:val="both"/>
              <w:rPr>
                <w:rFonts w:cs="Arial"/>
                <w:sz w:val="22"/>
                <w:szCs w:val="22"/>
                <w:lang w:eastAsia="en-GB"/>
              </w:rPr>
            </w:pPr>
            <w:r w:rsidRPr="00764F3C">
              <w:rPr>
                <w:rFonts w:cs="Arial"/>
                <w:sz w:val="22"/>
                <w:szCs w:val="22"/>
                <w:lang w:eastAsia="en-GB"/>
              </w:rPr>
              <w:t>1,889</w:t>
            </w:r>
          </w:p>
        </w:tc>
      </w:tr>
      <w:tr w:rsidR="00764F3C" w:rsidRPr="00764F3C" w14:paraId="2CEB9CE2" w14:textId="77777777" w:rsidTr="00825AC5">
        <w:trPr>
          <w:trHeight w:val="276"/>
        </w:trPr>
        <w:tc>
          <w:tcPr>
            <w:tcW w:w="2665" w:type="dxa"/>
            <w:tcBorders>
              <w:top w:val="nil"/>
              <w:left w:val="single" w:sz="4" w:space="0" w:color="auto"/>
              <w:bottom w:val="single" w:sz="4" w:space="0" w:color="auto"/>
              <w:right w:val="single" w:sz="4" w:space="0" w:color="auto"/>
            </w:tcBorders>
            <w:shd w:val="clear" w:color="auto" w:fill="auto"/>
            <w:vAlign w:val="bottom"/>
            <w:hideMark/>
          </w:tcPr>
          <w:p w14:paraId="595CFEB7"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Directorate Management</w:t>
            </w:r>
          </w:p>
        </w:tc>
        <w:tc>
          <w:tcPr>
            <w:tcW w:w="1160" w:type="dxa"/>
            <w:tcBorders>
              <w:top w:val="nil"/>
              <w:left w:val="nil"/>
              <w:bottom w:val="single" w:sz="4" w:space="0" w:color="auto"/>
              <w:right w:val="single" w:sz="4" w:space="0" w:color="auto"/>
            </w:tcBorders>
            <w:shd w:val="clear" w:color="000000" w:fill="FFFFFF"/>
            <w:noWrap/>
            <w:vAlign w:val="bottom"/>
            <w:hideMark/>
          </w:tcPr>
          <w:p w14:paraId="5FA4A1F9" w14:textId="77777777" w:rsidR="00764F3C" w:rsidRPr="00764F3C" w:rsidRDefault="00764F3C" w:rsidP="00825AC5">
            <w:pPr>
              <w:jc w:val="both"/>
              <w:rPr>
                <w:rFonts w:cs="Arial"/>
                <w:sz w:val="22"/>
                <w:szCs w:val="22"/>
                <w:lang w:eastAsia="en-GB"/>
              </w:rPr>
            </w:pPr>
            <w:r w:rsidRPr="00764F3C">
              <w:rPr>
                <w:rFonts w:cs="Arial"/>
                <w:sz w:val="22"/>
                <w:szCs w:val="22"/>
                <w:lang w:eastAsia="en-GB"/>
              </w:rPr>
              <w:t>189</w:t>
            </w:r>
          </w:p>
        </w:tc>
        <w:tc>
          <w:tcPr>
            <w:tcW w:w="1240" w:type="dxa"/>
            <w:tcBorders>
              <w:top w:val="nil"/>
              <w:left w:val="nil"/>
              <w:bottom w:val="single" w:sz="4" w:space="0" w:color="auto"/>
              <w:right w:val="single" w:sz="4" w:space="0" w:color="auto"/>
            </w:tcBorders>
            <w:shd w:val="clear" w:color="000000" w:fill="FFFFFF"/>
            <w:noWrap/>
            <w:vAlign w:val="bottom"/>
            <w:hideMark/>
          </w:tcPr>
          <w:p w14:paraId="49E6B216" w14:textId="77777777" w:rsidR="00764F3C" w:rsidRPr="00764F3C" w:rsidRDefault="00764F3C" w:rsidP="00825AC5">
            <w:pPr>
              <w:jc w:val="both"/>
              <w:rPr>
                <w:rFonts w:cs="Arial"/>
                <w:sz w:val="22"/>
                <w:szCs w:val="22"/>
                <w:lang w:eastAsia="en-GB"/>
              </w:rPr>
            </w:pPr>
            <w:r w:rsidRPr="00764F3C">
              <w:rPr>
                <w:rFonts w:cs="Arial"/>
                <w:sz w:val="22"/>
                <w:szCs w:val="22"/>
                <w:lang w:eastAsia="en-GB"/>
              </w:rPr>
              <w:t>189</w:t>
            </w:r>
          </w:p>
        </w:tc>
        <w:tc>
          <w:tcPr>
            <w:tcW w:w="1340" w:type="dxa"/>
            <w:tcBorders>
              <w:top w:val="nil"/>
              <w:left w:val="nil"/>
              <w:bottom w:val="single" w:sz="4" w:space="0" w:color="auto"/>
              <w:right w:val="single" w:sz="4" w:space="0" w:color="auto"/>
            </w:tcBorders>
            <w:shd w:val="clear" w:color="000000" w:fill="FFFFFF"/>
            <w:noWrap/>
            <w:vAlign w:val="bottom"/>
            <w:hideMark/>
          </w:tcPr>
          <w:p w14:paraId="324ACDA9"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c>
          <w:tcPr>
            <w:tcW w:w="1520" w:type="dxa"/>
            <w:tcBorders>
              <w:top w:val="nil"/>
              <w:left w:val="nil"/>
              <w:bottom w:val="single" w:sz="4" w:space="0" w:color="auto"/>
              <w:right w:val="single" w:sz="4" w:space="0" w:color="auto"/>
            </w:tcBorders>
            <w:shd w:val="clear" w:color="000000" w:fill="FFFFFF"/>
            <w:noWrap/>
            <w:vAlign w:val="bottom"/>
            <w:hideMark/>
          </w:tcPr>
          <w:p w14:paraId="7AC093CC"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c>
          <w:tcPr>
            <w:tcW w:w="1365" w:type="dxa"/>
            <w:tcBorders>
              <w:top w:val="nil"/>
              <w:left w:val="nil"/>
              <w:bottom w:val="single" w:sz="4" w:space="0" w:color="auto"/>
              <w:right w:val="single" w:sz="4" w:space="0" w:color="auto"/>
            </w:tcBorders>
            <w:shd w:val="clear" w:color="000000" w:fill="FFFFFF"/>
            <w:noWrap/>
            <w:vAlign w:val="bottom"/>
            <w:hideMark/>
          </w:tcPr>
          <w:p w14:paraId="48F2FD48"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r>
      <w:tr w:rsidR="00764F3C" w:rsidRPr="00764F3C" w14:paraId="58792133" w14:textId="77777777" w:rsidTr="00825AC5">
        <w:trPr>
          <w:trHeight w:val="392"/>
        </w:trPr>
        <w:tc>
          <w:tcPr>
            <w:tcW w:w="2665" w:type="dxa"/>
            <w:tcBorders>
              <w:top w:val="nil"/>
              <w:left w:val="single" w:sz="4" w:space="0" w:color="auto"/>
              <w:bottom w:val="single" w:sz="4" w:space="0" w:color="auto"/>
              <w:right w:val="single" w:sz="4" w:space="0" w:color="auto"/>
            </w:tcBorders>
            <w:shd w:val="clear" w:color="auto" w:fill="auto"/>
            <w:vAlign w:val="bottom"/>
            <w:hideMark/>
          </w:tcPr>
          <w:p w14:paraId="65EE48E4"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Housing General Fund</w:t>
            </w:r>
          </w:p>
        </w:tc>
        <w:tc>
          <w:tcPr>
            <w:tcW w:w="1160" w:type="dxa"/>
            <w:tcBorders>
              <w:top w:val="nil"/>
              <w:left w:val="nil"/>
              <w:bottom w:val="single" w:sz="4" w:space="0" w:color="auto"/>
              <w:right w:val="single" w:sz="4" w:space="0" w:color="auto"/>
            </w:tcBorders>
            <w:shd w:val="clear" w:color="000000" w:fill="FFFFFF"/>
            <w:noWrap/>
            <w:vAlign w:val="bottom"/>
            <w:hideMark/>
          </w:tcPr>
          <w:p w14:paraId="016F34EA" w14:textId="77777777" w:rsidR="00764F3C" w:rsidRPr="00764F3C" w:rsidRDefault="00764F3C" w:rsidP="00825AC5">
            <w:pPr>
              <w:jc w:val="both"/>
              <w:rPr>
                <w:rFonts w:cs="Arial"/>
                <w:sz w:val="22"/>
                <w:szCs w:val="22"/>
                <w:lang w:eastAsia="en-GB"/>
              </w:rPr>
            </w:pPr>
            <w:r w:rsidRPr="00764F3C">
              <w:rPr>
                <w:rFonts w:cs="Arial"/>
                <w:sz w:val="22"/>
                <w:szCs w:val="22"/>
                <w:lang w:eastAsia="en-GB"/>
              </w:rPr>
              <w:t>4,559</w:t>
            </w:r>
          </w:p>
        </w:tc>
        <w:tc>
          <w:tcPr>
            <w:tcW w:w="1240" w:type="dxa"/>
            <w:tcBorders>
              <w:top w:val="nil"/>
              <w:left w:val="nil"/>
              <w:bottom w:val="single" w:sz="4" w:space="0" w:color="auto"/>
              <w:right w:val="single" w:sz="4" w:space="0" w:color="auto"/>
            </w:tcBorders>
            <w:shd w:val="clear" w:color="000000" w:fill="FFFFFF"/>
            <w:noWrap/>
            <w:vAlign w:val="bottom"/>
            <w:hideMark/>
          </w:tcPr>
          <w:p w14:paraId="224D9F92" w14:textId="77777777" w:rsidR="00764F3C" w:rsidRPr="00764F3C" w:rsidRDefault="00764F3C" w:rsidP="00825AC5">
            <w:pPr>
              <w:jc w:val="both"/>
              <w:rPr>
                <w:rFonts w:cs="Arial"/>
                <w:sz w:val="22"/>
                <w:szCs w:val="22"/>
                <w:lang w:eastAsia="en-GB"/>
              </w:rPr>
            </w:pPr>
            <w:r w:rsidRPr="00764F3C">
              <w:rPr>
                <w:rFonts w:cs="Arial"/>
                <w:sz w:val="22"/>
                <w:szCs w:val="22"/>
                <w:lang w:eastAsia="en-GB"/>
              </w:rPr>
              <w:t>4,559</w:t>
            </w:r>
          </w:p>
        </w:tc>
        <w:tc>
          <w:tcPr>
            <w:tcW w:w="1340" w:type="dxa"/>
            <w:tcBorders>
              <w:top w:val="nil"/>
              <w:left w:val="nil"/>
              <w:bottom w:val="single" w:sz="4" w:space="0" w:color="auto"/>
              <w:right w:val="single" w:sz="4" w:space="0" w:color="auto"/>
            </w:tcBorders>
            <w:shd w:val="clear" w:color="000000" w:fill="FFFFFF"/>
            <w:noWrap/>
            <w:vAlign w:val="bottom"/>
            <w:hideMark/>
          </w:tcPr>
          <w:p w14:paraId="16EF5E1D"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c>
          <w:tcPr>
            <w:tcW w:w="1520" w:type="dxa"/>
            <w:tcBorders>
              <w:top w:val="nil"/>
              <w:left w:val="nil"/>
              <w:bottom w:val="single" w:sz="4" w:space="0" w:color="auto"/>
              <w:right w:val="single" w:sz="4" w:space="0" w:color="auto"/>
            </w:tcBorders>
            <w:shd w:val="clear" w:color="000000" w:fill="FFFFFF"/>
            <w:noWrap/>
            <w:vAlign w:val="bottom"/>
            <w:hideMark/>
          </w:tcPr>
          <w:p w14:paraId="77FA34BE"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c>
          <w:tcPr>
            <w:tcW w:w="1365" w:type="dxa"/>
            <w:tcBorders>
              <w:top w:val="nil"/>
              <w:left w:val="nil"/>
              <w:bottom w:val="single" w:sz="4" w:space="0" w:color="auto"/>
              <w:right w:val="single" w:sz="4" w:space="0" w:color="auto"/>
            </w:tcBorders>
            <w:shd w:val="clear" w:color="000000" w:fill="FFFFFF"/>
            <w:noWrap/>
            <w:vAlign w:val="bottom"/>
            <w:hideMark/>
          </w:tcPr>
          <w:p w14:paraId="54C65A0A"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r>
      <w:tr w:rsidR="00764F3C" w:rsidRPr="00764F3C" w14:paraId="5A1B5577" w14:textId="77777777" w:rsidTr="00825AC5">
        <w:trPr>
          <w:trHeight w:val="555"/>
        </w:trPr>
        <w:tc>
          <w:tcPr>
            <w:tcW w:w="2665" w:type="dxa"/>
            <w:tcBorders>
              <w:top w:val="nil"/>
              <w:left w:val="single" w:sz="4" w:space="0" w:color="auto"/>
              <w:bottom w:val="single" w:sz="4" w:space="0" w:color="auto"/>
              <w:right w:val="single" w:sz="4" w:space="0" w:color="auto"/>
            </w:tcBorders>
            <w:shd w:val="clear" w:color="auto" w:fill="auto"/>
            <w:vAlign w:val="bottom"/>
            <w:hideMark/>
          </w:tcPr>
          <w:p w14:paraId="39FB8D20" w14:textId="77777777" w:rsidR="00764F3C" w:rsidRPr="00764F3C" w:rsidRDefault="00764F3C" w:rsidP="00825AC5">
            <w:pPr>
              <w:jc w:val="both"/>
              <w:rPr>
                <w:rFonts w:cs="Arial"/>
                <w:color w:val="000000"/>
                <w:sz w:val="22"/>
                <w:szCs w:val="22"/>
                <w:lang w:eastAsia="en-GB"/>
              </w:rPr>
            </w:pPr>
            <w:r w:rsidRPr="00764F3C">
              <w:rPr>
                <w:rFonts w:cs="Arial"/>
                <w:color w:val="000000"/>
                <w:sz w:val="22"/>
                <w:szCs w:val="22"/>
                <w:lang w:eastAsia="en-GB"/>
              </w:rPr>
              <w:t xml:space="preserve">Regeneration, Enterprise and Planning </w:t>
            </w:r>
          </w:p>
        </w:tc>
        <w:tc>
          <w:tcPr>
            <w:tcW w:w="1160" w:type="dxa"/>
            <w:tcBorders>
              <w:top w:val="nil"/>
              <w:left w:val="nil"/>
              <w:bottom w:val="single" w:sz="4" w:space="0" w:color="auto"/>
              <w:right w:val="single" w:sz="4" w:space="0" w:color="auto"/>
            </w:tcBorders>
            <w:shd w:val="clear" w:color="000000" w:fill="FFFFFF"/>
            <w:noWrap/>
            <w:vAlign w:val="bottom"/>
            <w:hideMark/>
          </w:tcPr>
          <w:p w14:paraId="0261D82D" w14:textId="77777777" w:rsidR="00764F3C" w:rsidRPr="00764F3C" w:rsidRDefault="00764F3C" w:rsidP="00825AC5">
            <w:pPr>
              <w:jc w:val="both"/>
              <w:rPr>
                <w:rFonts w:cs="Arial"/>
                <w:sz w:val="22"/>
                <w:szCs w:val="22"/>
                <w:lang w:eastAsia="en-GB"/>
              </w:rPr>
            </w:pPr>
            <w:r w:rsidRPr="00764F3C">
              <w:rPr>
                <w:rFonts w:cs="Arial"/>
                <w:sz w:val="22"/>
                <w:szCs w:val="22"/>
                <w:lang w:eastAsia="en-GB"/>
              </w:rPr>
              <w:t>1,048</w:t>
            </w:r>
          </w:p>
        </w:tc>
        <w:tc>
          <w:tcPr>
            <w:tcW w:w="1240" w:type="dxa"/>
            <w:tcBorders>
              <w:top w:val="nil"/>
              <w:left w:val="nil"/>
              <w:bottom w:val="single" w:sz="4" w:space="0" w:color="auto"/>
              <w:right w:val="single" w:sz="4" w:space="0" w:color="auto"/>
            </w:tcBorders>
            <w:shd w:val="clear" w:color="000000" w:fill="FFFFFF"/>
            <w:noWrap/>
            <w:vAlign w:val="bottom"/>
            <w:hideMark/>
          </w:tcPr>
          <w:p w14:paraId="7EAED7C3" w14:textId="77777777" w:rsidR="00764F3C" w:rsidRPr="00764F3C" w:rsidRDefault="00764F3C" w:rsidP="00825AC5">
            <w:pPr>
              <w:jc w:val="both"/>
              <w:rPr>
                <w:rFonts w:cs="Arial"/>
                <w:sz w:val="22"/>
                <w:szCs w:val="22"/>
                <w:lang w:eastAsia="en-GB"/>
              </w:rPr>
            </w:pPr>
            <w:r w:rsidRPr="00764F3C">
              <w:rPr>
                <w:rFonts w:cs="Arial"/>
                <w:sz w:val="22"/>
                <w:szCs w:val="22"/>
                <w:lang w:eastAsia="en-GB"/>
              </w:rPr>
              <w:t>1,048</w:t>
            </w:r>
          </w:p>
        </w:tc>
        <w:tc>
          <w:tcPr>
            <w:tcW w:w="1340" w:type="dxa"/>
            <w:tcBorders>
              <w:top w:val="nil"/>
              <w:left w:val="nil"/>
              <w:bottom w:val="single" w:sz="4" w:space="0" w:color="auto"/>
              <w:right w:val="single" w:sz="4" w:space="0" w:color="auto"/>
            </w:tcBorders>
            <w:shd w:val="clear" w:color="000000" w:fill="FFFFFF"/>
            <w:noWrap/>
            <w:vAlign w:val="bottom"/>
            <w:hideMark/>
          </w:tcPr>
          <w:p w14:paraId="1498547F"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c>
          <w:tcPr>
            <w:tcW w:w="1520" w:type="dxa"/>
            <w:tcBorders>
              <w:top w:val="nil"/>
              <w:left w:val="nil"/>
              <w:bottom w:val="single" w:sz="4" w:space="0" w:color="auto"/>
              <w:right w:val="single" w:sz="4" w:space="0" w:color="auto"/>
            </w:tcBorders>
            <w:shd w:val="clear" w:color="000000" w:fill="FFFFFF"/>
            <w:noWrap/>
            <w:vAlign w:val="bottom"/>
            <w:hideMark/>
          </w:tcPr>
          <w:p w14:paraId="32EE51E5"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c>
          <w:tcPr>
            <w:tcW w:w="1365" w:type="dxa"/>
            <w:tcBorders>
              <w:top w:val="nil"/>
              <w:left w:val="nil"/>
              <w:bottom w:val="single" w:sz="4" w:space="0" w:color="auto"/>
              <w:right w:val="single" w:sz="4" w:space="0" w:color="auto"/>
            </w:tcBorders>
            <w:shd w:val="clear" w:color="000000" w:fill="FFFFFF"/>
            <w:noWrap/>
            <w:vAlign w:val="bottom"/>
            <w:hideMark/>
          </w:tcPr>
          <w:p w14:paraId="7BC89C26" w14:textId="77777777" w:rsidR="00764F3C" w:rsidRPr="00764F3C" w:rsidRDefault="00764F3C" w:rsidP="00825AC5">
            <w:pPr>
              <w:jc w:val="both"/>
              <w:rPr>
                <w:rFonts w:cs="Arial"/>
                <w:sz w:val="22"/>
                <w:szCs w:val="22"/>
                <w:lang w:eastAsia="en-GB"/>
              </w:rPr>
            </w:pPr>
            <w:r w:rsidRPr="00764F3C">
              <w:rPr>
                <w:rFonts w:cs="Arial"/>
                <w:sz w:val="22"/>
                <w:szCs w:val="22"/>
                <w:lang w:eastAsia="en-GB"/>
              </w:rPr>
              <w:t>0</w:t>
            </w:r>
          </w:p>
        </w:tc>
      </w:tr>
      <w:tr w:rsidR="00764F3C" w:rsidRPr="00764F3C" w14:paraId="114B407E" w14:textId="77777777" w:rsidTr="00825AC5">
        <w:trPr>
          <w:trHeight w:val="300"/>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65AA9337" w14:textId="77777777" w:rsidR="00764F3C" w:rsidRPr="00825AC5" w:rsidRDefault="00764F3C" w:rsidP="00825AC5">
            <w:pPr>
              <w:jc w:val="both"/>
              <w:rPr>
                <w:rFonts w:cs="Arial"/>
                <w:bCs/>
                <w:color w:val="000000"/>
                <w:sz w:val="22"/>
                <w:szCs w:val="22"/>
                <w:lang w:eastAsia="en-GB"/>
              </w:rPr>
            </w:pPr>
            <w:r w:rsidRPr="00825AC5">
              <w:rPr>
                <w:rFonts w:cs="Arial"/>
                <w:bCs/>
                <w:color w:val="000000"/>
                <w:sz w:val="22"/>
                <w:szCs w:val="22"/>
                <w:lang w:eastAsia="en-GB"/>
              </w:rPr>
              <w:t xml:space="preserve">Total </w:t>
            </w:r>
          </w:p>
        </w:tc>
        <w:tc>
          <w:tcPr>
            <w:tcW w:w="1160" w:type="dxa"/>
            <w:tcBorders>
              <w:top w:val="nil"/>
              <w:left w:val="nil"/>
              <w:bottom w:val="single" w:sz="4" w:space="0" w:color="auto"/>
              <w:right w:val="single" w:sz="4" w:space="0" w:color="auto"/>
            </w:tcBorders>
            <w:shd w:val="clear" w:color="auto" w:fill="auto"/>
            <w:noWrap/>
            <w:vAlign w:val="bottom"/>
            <w:hideMark/>
          </w:tcPr>
          <w:p w14:paraId="5BDE8EC7" w14:textId="77777777" w:rsidR="00764F3C" w:rsidRPr="00825AC5" w:rsidRDefault="00764F3C" w:rsidP="00825AC5">
            <w:pPr>
              <w:jc w:val="both"/>
              <w:rPr>
                <w:rFonts w:cs="Arial"/>
                <w:bCs/>
                <w:color w:val="000000"/>
                <w:sz w:val="22"/>
                <w:szCs w:val="22"/>
                <w:lang w:eastAsia="en-GB"/>
              </w:rPr>
            </w:pPr>
            <w:r w:rsidRPr="00825AC5">
              <w:rPr>
                <w:rFonts w:cs="Arial"/>
                <w:bCs/>
                <w:color w:val="000000"/>
                <w:sz w:val="22"/>
                <w:szCs w:val="22"/>
                <w:lang w:eastAsia="en-GB"/>
              </w:rPr>
              <w:t>21,574</w:t>
            </w:r>
          </w:p>
        </w:tc>
        <w:tc>
          <w:tcPr>
            <w:tcW w:w="1240" w:type="dxa"/>
            <w:tcBorders>
              <w:top w:val="nil"/>
              <w:left w:val="nil"/>
              <w:bottom w:val="single" w:sz="4" w:space="0" w:color="auto"/>
              <w:right w:val="single" w:sz="4" w:space="0" w:color="auto"/>
            </w:tcBorders>
            <w:shd w:val="clear" w:color="auto" w:fill="auto"/>
            <w:noWrap/>
            <w:vAlign w:val="bottom"/>
            <w:hideMark/>
          </w:tcPr>
          <w:p w14:paraId="0418546B" w14:textId="77777777" w:rsidR="00764F3C" w:rsidRPr="00825AC5" w:rsidRDefault="00764F3C" w:rsidP="00825AC5">
            <w:pPr>
              <w:jc w:val="both"/>
              <w:rPr>
                <w:rFonts w:cs="Arial"/>
                <w:bCs/>
                <w:color w:val="000000"/>
                <w:sz w:val="22"/>
                <w:szCs w:val="22"/>
                <w:lang w:eastAsia="en-GB"/>
              </w:rPr>
            </w:pPr>
            <w:r w:rsidRPr="00825AC5">
              <w:rPr>
                <w:rFonts w:cs="Arial"/>
                <w:bCs/>
                <w:color w:val="000000"/>
                <w:sz w:val="22"/>
                <w:szCs w:val="22"/>
                <w:lang w:eastAsia="en-GB"/>
              </w:rPr>
              <w:t>24,634</w:t>
            </w:r>
          </w:p>
        </w:tc>
        <w:tc>
          <w:tcPr>
            <w:tcW w:w="1340" w:type="dxa"/>
            <w:tcBorders>
              <w:top w:val="nil"/>
              <w:left w:val="nil"/>
              <w:bottom w:val="single" w:sz="4" w:space="0" w:color="auto"/>
              <w:right w:val="single" w:sz="4" w:space="0" w:color="auto"/>
            </w:tcBorders>
            <w:shd w:val="clear" w:color="auto" w:fill="auto"/>
            <w:noWrap/>
            <w:vAlign w:val="bottom"/>
            <w:hideMark/>
          </w:tcPr>
          <w:p w14:paraId="346B4478" w14:textId="77777777" w:rsidR="00764F3C" w:rsidRPr="00825AC5" w:rsidRDefault="00764F3C" w:rsidP="00825AC5">
            <w:pPr>
              <w:jc w:val="both"/>
              <w:rPr>
                <w:rFonts w:cs="Arial"/>
                <w:bCs/>
                <w:color w:val="000000"/>
                <w:sz w:val="22"/>
                <w:szCs w:val="22"/>
                <w:lang w:eastAsia="en-GB"/>
              </w:rPr>
            </w:pPr>
            <w:r w:rsidRPr="00825AC5">
              <w:rPr>
                <w:rFonts w:cs="Arial"/>
                <w:bCs/>
                <w:color w:val="000000"/>
                <w:sz w:val="22"/>
                <w:szCs w:val="22"/>
                <w:lang w:eastAsia="en-GB"/>
              </w:rPr>
              <w:t>3,060</w:t>
            </w:r>
          </w:p>
        </w:tc>
        <w:tc>
          <w:tcPr>
            <w:tcW w:w="1520" w:type="dxa"/>
            <w:tcBorders>
              <w:top w:val="nil"/>
              <w:left w:val="nil"/>
              <w:bottom w:val="single" w:sz="4" w:space="0" w:color="auto"/>
              <w:right w:val="single" w:sz="4" w:space="0" w:color="auto"/>
            </w:tcBorders>
            <w:shd w:val="clear" w:color="auto" w:fill="auto"/>
            <w:noWrap/>
            <w:vAlign w:val="bottom"/>
            <w:hideMark/>
          </w:tcPr>
          <w:p w14:paraId="122E80E5" w14:textId="77777777" w:rsidR="00764F3C" w:rsidRPr="00825AC5" w:rsidRDefault="00764F3C" w:rsidP="00825AC5">
            <w:pPr>
              <w:jc w:val="both"/>
              <w:rPr>
                <w:rFonts w:cs="Arial"/>
                <w:bCs/>
                <w:color w:val="000000"/>
                <w:sz w:val="22"/>
                <w:szCs w:val="22"/>
                <w:lang w:eastAsia="en-GB"/>
              </w:rPr>
            </w:pPr>
            <w:r w:rsidRPr="00825AC5">
              <w:rPr>
                <w:rFonts w:cs="Arial"/>
                <w:bCs/>
                <w:color w:val="000000"/>
                <w:sz w:val="22"/>
                <w:szCs w:val="22"/>
                <w:lang w:eastAsia="en-GB"/>
              </w:rPr>
              <w:t>823</w:t>
            </w:r>
          </w:p>
        </w:tc>
        <w:tc>
          <w:tcPr>
            <w:tcW w:w="1365" w:type="dxa"/>
            <w:tcBorders>
              <w:top w:val="nil"/>
              <w:left w:val="nil"/>
              <w:bottom w:val="single" w:sz="4" w:space="0" w:color="auto"/>
              <w:right w:val="single" w:sz="4" w:space="0" w:color="auto"/>
            </w:tcBorders>
            <w:shd w:val="clear" w:color="auto" w:fill="auto"/>
            <w:noWrap/>
            <w:vAlign w:val="bottom"/>
            <w:hideMark/>
          </w:tcPr>
          <w:p w14:paraId="1D1387BE" w14:textId="77777777" w:rsidR="00764F3C" w:rsidRPr="00825AC5" w:rsidRDefault="00764F3C" w:rsidP="00825AC5">
            <w:pPr>
              <w:jc w:val="both"/>
              <w:rPr>
                <w:rFonts w:cs="Arial"/>
                <w:bCs/>
                <w:color w:val="000000"/>
                <w:sz w:val="22"/>
                <w:szCs w:val="22"/>
                <w:lang w:eastAsia="en-GB"/>
              </w:rPr>
            </w:pPr>
            <w:r w:rsidRPr="00825AC5">
              <w:rPr>
                <w:rFonts w:cs="Arial"/>
                <w:bCs/>
                <w:color w:val="000000"/>
                <w:sz w:val="22"/>
                <w:szCs w:val="22"/>
                <w:lang w:eastAsia="en-GB"/>
              </w:rPr>
              <w:t>2,237</w:t>
            </w:r>
          </w:p>
        </w:tc>
      </w:tr>
    </w:tbl>
    <w:p w14:paraId="4936E2D7" w14:textId="77777777" w:rsidR="009E4B36" w:rsidRDefault="009E4B36">
      <w:pPr>
        <w:pStyle w:val="ListParagraph"/>
        <w:ind w:left="567"/>
        <w:jc w:val="both"/>
        <w:rPr>
          <w:rFonts w:cs="Arial"/>
          <w:b/>
          <w:szCs w:val="24"/>
          <w:u w:val="single"/>
          <w:lang w:val="en-US"/>
        </w:rPr>
      </w:pPr>
    </w:p>
    <w:p w14:paraId="45027EDD" w14:textId="77777777" w:rsidR="00CA0075" w:rsidRPr="00CA0075" w:rsidRDefault="00CA0075">
      <w:pPr>
        <w:ind w:left="567"/>
        <w:jc w:val="both"/>
        <w:rPr>
          <w:rFonts w:cs="Arial"/>
          <w:szCs w:val="24"/>
          <w:u w:val="single"/>
        </w:rPr>
      </w:pPr>
      <w:r w:rsidRPr="00CA0075">
        <w:rPr>
          <w:rFonts w:cs="Arial"/>
          <w:szCs w:val="24"/>
          <w:u w:val="single"/>
        </w:rPr>
        <w:t>Environment and Culture</w:t>
      </w:r>
    </w:p>
    <w:p w14:paraId="6F08814A" w14:textId="67645B01" w:rsidR="004147C5" w:rsidRPr="007C0D59" w:rsidRDefault="000C2074">
      <w:pPr>
        <w:pStyle w:val="ListParagraph"/>
        <w:numPr>
          <w:ilvl w:val="0"/>
          <w:numId w:val="14"/>
        </w:numPr>
        <w:ind w:left="567" w:hanging="567"/>
        <w:jc w:val="both"/>
        <w:rPr>
          <w:rFonts w:cs="Arial"/>
          <w:szCs w:val="24"/>
          <w:lang w:val="en-US"/>
        </w:rPr>
      </w:pPr>
      <w:r w:rsidRPr="009E4B36">
        <w:rPr>
          <w:rFonts w:cs="Arial"/>
          <w:szCs w:val="24"/>
        </w:rPr>
        <w:t xml:space="preserve">Environment and </w:t>
      </w:r>
      <w:r w:rsidR="006226AE" w:rsidRPr="009E4B36">
        <w:rPr>
          <w:rFonts w:cs="Arial"/>
          <w:szCs w:val="24"/>
        </w:rPr>
        <w:t>Culture</w:t>
      </w:r>
      <w:r w:rsidR="004E3277">
        <w:rPr>
          <w:rFonts w:cs="Arial"/>
          <w:szCs w:val="24"/>
        </w:rPr>
        <w:t xml:space="preserve"> is</w:t>
      </w:r>
      <w:r w:rsidR="006226AE" w:rsidRPr="009E4B36">
        <w:rPr>
          <w:rFonts w:cs="Arial"/>
          <w:szCs w:val="24"/>
        </w:rPr>
        <w:t xml:space="preserve"> forecast</w:t>
      </w:r>
      <w:r w:rsidR="004E3277">
        <w:rPr>
          <w:rFonts w:cs="Arial"/>
          <w:szCs w:val="24"/>
        </w:rPr>
        <w:t>ing</w:t>
      </w:r>
      <w:r w:rsidR="004147C5" w:rsidRPr="009E4B36">
        <w:rPr>
          <w:rFonts w:cs="Arial"/>
          <w:szCs w:val="24"/>
        </w:rPr>
        <w:t xml:space="preserve"> an </w:t>
      </w:r>
      <w:r w:rsidR="00CA0075" w:rsidRPr="0023702C">
        <w:rPr>
          <w:rFonts w:cs="Arial"/>
          <w:szCs w:val="24"/>
        </w:rPr>
        <w:t>over</w:t>
      </w:r>
      <w:r w:rsidR="00221D9F">
        <w:rPr>
          <w:rFonts w:cs="Arial"/>
          <w:szCs w:val="24"/>
        </w:rPr>
        <w:t xml:space="preserve"> </w:t>
      </w:r>
      <w:r w:rsidR="00CA0075" w:rsidRPr="0023702C">
        <w:rPr>
          <w:rFonts w:cs="Arial"/>
          <w:szCs w:val="24"/>
        </w:rPr>
        <w:t>spend of</w:t>
      </w:r>
      <w:r w:rsidR="004147C5" w:rsidRPr="009E4B36">
        <w:rPr>
          <w:rFonts w:cs="Arial"/>
          <w:szCs w:val="24"/>
        </w:rPr>
        <w:t xml:space="preserve"> £</w:t>
      </w:r>
      <w:r w:rsidR="005E465C">
        <w:rPr>
          <w:rFonts w:cs="Arial"/>
          <w:szCs w:val="24"/>
        </w:rPr>
        <w:t>9</w:t>
      </w:r>
      <w:r w:rsidR="005C4B80">
        <w:rPr>
          <w:rFonts w:cs="Arial"/>
          <w:szCs w:val="24"/>
        </w:rPr>
        <w:t>17</w:t>
      </w:r>
      <w:r w:rsidR="00EF3138">
        <w:rPr>
          <w:rFonts w:cs="Arial"/>
          <w:szCs w:val="24"/>
        </w:rPr>
        <w:t>k</w:t>
      </w:r>
      <w:r w:rsidR="004147C5" w:rsidRPr="007C0D59">
        <w:rPr>
          <w:rFonts w:cs="Arial"/>
          <w:szCs w:val="24"/>
        </w:rPr>
        <w:t xml:space="preserve"> and </w:t>
      </w:r>
      <w:r w:rsidR="00CB6DCF" w:rsidRPr="007C0D59">
        <w:rPr>
          <w:rFonts w:cs="Arial"/>
          <w:szCs w:val="24"/>
        </w:rPr>
        <w:t xml:space="preserve">the variances are </w:t>
      </w:r>
      <w:r w:rsidRPr="007C0D59">
        <w:rPr>
          <w:rFonts w:cs="Arial"/>
          <w:szCs w:val="24"/>
        </w:rPr>
        <w:t>detailed as follows</w:t>
      </w:r>
      <w:r w:rsidR="004E3277">
        <w:rPr>
          <w:rFonts w:cs="Arial"/>
          <w:szCs w:val="24"/>
        </w:rPr>
        <w:t>:</w:t>
      </w:r>
      <w:r w:rsidR="00CB6DCF" w:rsidRPr="007C0D59">
        <w:rPr>
          <w:rFonts w:cs="Arial"/>
          <w:szCs w:val="24"/>
        </w:rPr>
        <w:t xml:space="preserve"> </w:t>
      </w:r>
    </w:p>
    <w:p w14:paraId="2D24922D" w14:textId="77777777" w:rsidR="004147C5" w:rsidRPr="007C0D59" w:rsidRDefault="004147C5">
      <w:pPr>
        <w:ind w:left="709"/>
        <w:jc w:val="both"/>
        <w:rPr>
          <w:rFonts w:cs="Arial"/>
          <w:szCs w:val="24"/>
          <w:u w:val="single"/>
        </w:rPr>
      </w:pPr>
    </w:p>
    <w:p w14:paraId="5A39F676" w14:textId="7BF7E1D5" w:rsidR="00FF069A" w:rsidRDefault="0011192C">
      <w:pPr>
        <w:pStyle w:val="ListParagraph"/>
        <w:numPr>
          <w:ilvl w:val="0"/>
          <w:numId w:val="34"/>
        </w:numPr>
        <w:ind w:left="851" w:hanging="284"/>
        <w:jc w:val="both"/>
        <w:rPr>
          <w:rFonts w:cs="Arial"/>
          <w:szCs w:val="24"/>
          <w:lang w:val="en-US"/>
        </w:rPr>
      </w:pPr>
      <w:r w:rsidRPr="0011192C">
        <w:rPr>
          <w:rFonts w:cs="Arial"/>
          <w:szCs w:val="24"/>
        </w:rPr>
        <w:t xml:space="preserve">Due to staff absences within the directorate, interim management arrangements have been put in place which results in forecast additional staffing costs of </w:t>
      </w:r>
      <w:r w:rsidRPr="00825AC5">
        <w:rPr>
          <w:rFonts w:cs="Arial"/>
          <w:szCs w:val="24"/>
        </w:rPr>
        <w:t>£168k</w:t>
      </w:r>
      <w:r>
        <w:rPr>
          <w:rFonts w:cs="Arial"/>
          <w:szCs w:val="24"/>
          <w:lang w:val="en-US"/>
        </w:rPr>
        <w:t>.</w:t>
      </w:r>
      <w:r w:rsidR="00CB6DCF" w:rsidRPr="003634DA">
        <w:rPr>
          <w:rFonts w:cs="Arial"/>
          <w:szCs w:val="24"/>
          <w:lang w:val="en-US"/>
        </w:rPr>
        <w:t xml:space="preserve"> </w:t>
      </w:r>
    </w:p>
    <w:p w14:paraId="42D8D0F9" w14:textId="77777777" w:rsidR="00FF069A" w:rsidRDefault="00FF069A">
      <w:pPr>
        <w:pStyle w:val="ListParagraph"/>
        <w:ind w:left="851"/>
        <w:jc w:val="both"/>
        <w:rPr>
          <w:rFonts w:cs="Arial"/>
          <w:szCs w:val="24"/>
          <w:lang w:val="en-US"/>
        </w:rPr>
      </w:pPr>
    </w:p>
    <w:p w14:paraId="737A4F0B" w14:textId="6F9F96BF" w:rsidR="0011192C" w:rsidRPr="00825AC5" w:rsidRDefault="0011192C">
      <w:pPr>
        <w:pStyle w:val="ListParagraph"/>
        <w:numPr>
          <w:ilvl w:val="0"/>
          <w:numId w:val="34"/>
        </w:numPr>
        <w:ind w:left="851" w:hanging="284"/>
        <w:jc w:val="both"/>
        <w:rPr>
          <w:rFonts w:cs="Arial"/>
          <w:szCs w:val="24"/>
          <w:lang w:val="en-US"/>
        </w:rPr>
      </w:pPr>
      <w:r w:rsidRPr="0011192C">
        <w:rPr>
          <w:rFonts w:cs="Arial"/>
          <w:szCs w:val="24"/>
        </w:rPr>
        <w:t>Due to unfavourable market prices for dry recycl</w:t>
      </w:r>
      <w:r w:rsidR="0041291A">
        <w:rPr>
          <w:rFonts w:cs="Arial"/>
          <w:szCs w:val="24"/>
        </w:rPr>
        <w:t>ables</w:t>
      </w:r>
      <w:r w:rsidRPr="0011192C">
        <w:rPr>
          <w:rFonts w:cs="Arial"/>
          <w:szCs w:val="24"/>
        </w:rPr>
        <w:t xml:space="preserve">, the level of revenue rebate achieved from the sales of </w:t>
      </w:r>
      <w:proofErr w:type="spellStart"/>
      <w:r w:rsidRPr="0011192C">
        <w:rPr>
          <w:rFonts w:cs="Arial"/>
          <w:szCs w:val="24"/>
        </w:rPr>
        <w:t>recyclates</w:t>
      </w:r>
      <w:proofErr w:type="spellEnd"/>
      <w:r w:rsidRPr="0011192C">
        <w:rPr>
          <w:rFonts w:cs="Arial"/>
          <w:szCs w:val="24"/>
        </w:rPr>
        <w:t xml:space="preserve"> has been low. This results in a forecast pressure of </w:t>
      </w:r>
      <w:r w:rsidRPr="00825AC5">
        <w:rPr>
          <w:rFonts w:cs="Arial"/>
          <w:szCs w:val="24"/>
        </w:rPr>
        <w:t>£447k</w:t>
      </w:r>
      <w:r w:rsidRPr="0011192C">
        <w:rPr>
          <w:rFonts w:cs="Arial"/>
          <w:szCs w:val="24"/>
        </w:rPr>
        <w:t xml:space="preserve"> in the waste disposal budget</w:t>
      </w:r>
      <w:r>
        <w:rPr>
          <w:rFonts w:cs="Arial"/>
          <w:szCs w:val="24"/>
        </w:rPr>
        <w:t>.</w:t>
      </w:r>
    </w:p>
    <w:p w14:paraId="036036F9" w14:textId="77777777" w:rsidR="0011192C" w:rsidRPr="00207C16" w:rsidRDefault="0011192C" w:rsidP="00825AC5">
      <w:pPr>
        <w:pStyle w:val="ListParagraph"/>
        <w:jc w:val="both"/>
        <w:rPr>
          <w:rFonts w:cs="Arial"/>
          <w:szCs w:val="24"/>
          <w:lang w:val="en-US"/>
        </w:rPr>
      </w:pPr>
    </w:p>
    <w:p w14:paraId="4F0F811F" w14:textId="461542FF" w:rsidR="0011192C" w:rsidRPr="00825AC5" w:rsidRDefault="0011192C">
      <w:pPr>
        <w:pStyle w:val="ListParagraph"/>
        <w:numPr>
          <w:ilvl w:val="0"/>
          <w:numId w:val="34"/>
        </w:numPr>
        <w:ind w:left="851" w:hanging="284"/>
        <w:jc w:val="both"/>
        <w:rPr>
          <w:rFonts w:cs="Arial"/>
          <w:szCs w:val="24"/>
          <w:lang w:val="en-US"/>
        </w:rPr>
      </w:pPr>
      <w:r w:rsidRPr="0011192C">
        <w:rPr>
          <w:rFonts w:cs="Arial"/>
          <w:szCs w:val="24"/>
        </w:rPr>
        <w:t xml:space="preserve">Within the MTFS, there is a saving target of </w:t>
      </w:r>
      <w:r w:rsidRPr="00825AC5">
        <w:rPr>
          <w:rFonts w:cs="Arial"/>
          <w:szCs w:val="24"/>
        </w:rPr>
        <w:t xml:space="preserve">£150k </w:t>
      </w:r>
      <w:r w:rsidRPr="0011192C">
        <w:rPr>
          <w:rFonts w:cs="Arial"/>
          <w:szCs w:val="24"/>
        </w:rPr>
        <w:t xml:space="preserve">in relation to route optimisation for food waste collection. Food waste in flats was introduced as </w:t>
      </w:r>
      <w:r w:rsidRPr="0011192C">
        <w:rPr>
          <w:rFonts w:cs="Arial"/>
          <w:szCs w:val="24"/>
        </w:rPr>
        <w:lastRenderedPageBreak/>
        <w:t xml:space="preserve">part of </w:t>
      </w:r>
      <w:r w:rsidR="00764F3C">
        <w:rPr>
          <w:rFonts w:cs="Arial"/>
          <w:szCs w:val="24"/>
        </w:rPr>
        <w:t xml:space="preserve">the </w:t>
      </w:r>
      <w:r w:rsidRPr="0011192C">
        <w:rPr>
          <w:rFonts w:cs="Arial"/>
          <w:szCs w:val="24"/>
        </w:rPr>
        <w:t>Waste Review. The collection of food waste from flats is contained within existing crews rather than introducing an additional collection round, through optimising routes. As a result, it is not possible to reduce the number of food waste rounds as originally intended from the MTFS proposal</w:t>
      </w:r>
      <w:r>
        <w:rPr>
          <w:rFonts w:cs="Arial"/>
          <w:szCs w:val="24"/>
        </w:rPr>
        <w:t>.</w:t>
      </w:r>
    </w:p>
    <w:p w14:paraId="4D252953" w14:textId="77777777" w:rsidR="0011192C" w:rsidRPr="00207C16" w:rsidRDefault="0011192C" w:rsidP="00825AC5">
      <w:pPr>
        <w:pStyle w:val="ListParagraph"/>
        <w:jc w:val="both"/>
        <w:rPr>
          <w:rFonts w:cs="Arial"/>
          <w:szCs w:val="24"/>
          <w:lang w:val="en-US"/>
        </w:rPr>
      </w:pPr>
    </w:p>
    <w:p w14:paraId="410AE7E0" w14:textId="1BAB639E" w:rsidR="00FF069A" w:rsidRDefault="0011192C">
      <w:pPr>
        <w:pStyle w:val="ListParagraph"/>
        <w:numPr>
          <w:ilvl w:val="0"/>
          <w:numId w:val="34"/>
        </w:numPr>
        <w:ind w:left="851" w:hanging="284"/>
        <w:jc w:val="both"/>
        <w:rPr>
          <w:rFonts w:cs="Arial"/>
          <w:szCs w:val="24"/>
          <w:lang w:val="en-US"/>
        </w:rPr>
      </w:pPr>
      <w:r w:rsidRPr="00712F06">
        <w:rPr>
          <w:rFonts w:cs="Arial"/>
          <w:szCs w:val="24"/>
        </w:rPr>
        <w:t>In Waste Management, the forecast identifies a net income shortfall of £30k primarily relating to the sale of bio bags.</w:t>
      </w:r>
      <w:r w:rsidR="00712F06">
        <w:rPr>
          <w:rFonts w:cs="Arial"/>
          <w:szCs w:val="24"/>
          <w:lang w:val="en-US"/>
        </w:rPr>
        <w:t xml:space="preserve"> </w:t>
      </w:r>
      <w:r w:rsidR="00FF069A" w:rsidRPr="00FF069A">
        <w:rPr>
          <w:rFonts w:cs="Arial"/>
          <w:szCs w:val="24"/>
          <w:lang w:val="en-US"/>
        </w:rPr>
        <w:t>Health &amp; Safety SLA income is subject to take up by Schools. There has been a drop in the number of schools taking up this service, resulting in income under achievement estimated at £52k</w:t>
      </w:r>
      <w:r w:rsidR="00FF069A">
        <w:rPr>
          <w:rFonts w:cs="Arial"/>
          <w:szCs w:val="24"/>
          <w:lang w:val="en-US"/>
        </w:rPr>
        <w:t>.</w:t>
      </w:r>
    </w:p>
    <w:p w14:paraId="193935FC" w14:textId="77777777" w:rsidR="00FF069A" w:rsidRDefault="00FF069A">
      <w:pPr>
        <w:pStyle w:val="ListParagraph"/>
        <w:ind w:left="851"/>
        <w:jc w:val="both"/>
        <w:rPr>
          <w:rFonts w:cs="Arial"/>
          <w:szCs w:val="24"/>
          <w:lang w:val="en-US"/>
        </w:rPr>
      </w:pPr>
    </w:p>
    <w:p w14:paraId="446DB96E" w14:textId="191966CA" w:rsidR="0011192C" w:rsidRDefault="0011192C">
      <w:pPr>
        <w:pStyle w:val="ListParagraph"/>
        <w:numPr>
          <w:ilvl w:val="0"/>
          <w:numId w:val="34"/>
        </w:numPr>
        <w:ind w:left="851" w:hanging="284"/>
        <w:jc w:val="both"/>
        <w:rPr>
          <w:rFonts w:cs="Arial"/>
          <w:szCs w:val="24"/>
          <w:lang w:val="en-US"/>
        </w:rPr>
      </w:pPr>
      <w:r w:rsidRPr="0011192C">
        <w:rPr>
          <w:rFonts w:cs="Arial"/>
          <w:szCs w:val="24"/>
          <w:lang w:val="en-US"/>
        </w:rPr>
        <w:t xml:space="preserve">There is a MTFS target of £150k for Harrow Art Centre in 2019/20. The saving </w:t>
      </w:r>
      <w:r w:rsidR="004E3277">
        <w:rPr>
          <w:rFonts w:cs="Arial"/>
          <w:szCs w:val="24"/>
          <w:lang w:val="en-US"/>
        </w:rPr>
        <w:t>was</w:t>
      </w:r>
      <w:r w:rsidRPr="0011192C">
        <w:rPr>
          <w:rFonts w:cs="Arial"/>
          <w:szCs w:val="24"/>
          <w:lang w:val="en-US"/>
        </w:rPr>
        <w:t xml:space="preserve"> originally expected to be achieved through additional hire income from the increase in room lettings facilities. There has been a delay in progressing the capital works on which the income generation depends. Mitigations have been identified to achieve around £80k of this saving through the projected increase in income from performances and existing room hire. Therefore, a forecast under-achievement of </w:t>
      </w:r>
      <w:r w:rsidRPr="00825AC5">
        <w:rPr>
          <w:rFonts w:cs="Arial"/>
          <w:szCs w:val="24"/>
          <w:lang w:val="en-US"/>
        </w:rPr>
        <w:t>£70k</w:t>
      </w:r>
      <w:r w:rsidRPr="0011192C">
        <w:rPr>
          <w:rFonts w:cs="Arial"/>
          <w:szCs w:val="24"/>
          <w:lang w:val="en-US"/>
        </w:rPr>
        <w:t xml:space="preserve"> is reported</w:t>
      </w:r>
      <w:r>
        <w:rPr>
          <w:rFonts w:cs="Arial"/>
          <w:szCs w:val="24"/>
          <w:lang w:val="en-US"/>
        </w:rPr>
        <w:t>.</w:t>
      </w:r>
      <w:r w:rsidR="004E3277">
        <w:rPr>
          <w:rFonts w:cs="Arial"/>
          <w:szCs w:val="24"/>
          <w:lang w:val="en-US"/>
        </w:rPr>
        <w:t xml:space="preserve"> This is forecast to be achieved in full in 2020/21</w:t>
      </w:r>
    </w:p>
    <w:p w14:paraId="74FBA0B5" w14:textId="77777777" w:rsidR="001F108C" w:rsidRPr="00207C16" w:rsidRDefault="001F108C" w:rsidP="00825AC5">
      <w:pPr>
        <w:pStyle w:val="ListParagraph"/>
        <w:jc w:val="both"/>
        <w:rPr>
          <w:rFonts w:cs="Arial"/>
          <w:szCs w:val="24"/>
          <w:lang w:val="en-US"/>
        </w:rPr>
      </w:pPr>
    </w:p>
    <w:p w14:paraId="523278F8" w14:textId="48F8FB5D" w:rsidR="001F108C" w:rsidRDefault="001F108C" w:rsidP="00825AC5">
      <w:pPr>
        <w:pStyle w:val="ListParagraph"/>
        <w:numPr>
          <w:ilvl w:val="0"/>
          <w:numId w:val="14"/>
        </w:numPr>
        <w:ind w:left="567" w:hanging="567"/>
        <w:jc w:val="both"/>
        <w:rPr>
          <w:rFonts w:cs="Arial"/>
          <w:szCs w:val="24"/>
          <w:lang w:val="en-US"/>
        </w:rPr>
      </w:pPr>
      <w:r w:rsidRPr="0011192C">
        <w:rPr>
          <w:rFonts w:cs="Arial"/>
          <w:szCs w:val="24"/>
          <w:lang w:val="en-US"/>
        </w:rPr>
        <w:t>The movement of the adverse variance from Q</w:t>
      </w:r>
      <w:r w:rsidR="00764F3C">
        <w:rPr>
          <w:rFonts w:cs="Arial"/>
          <w:szCs w:val="24"/>
          <w:lang w:val="en-US"/>
        </w:rPr>
        <w:t xml:space="preserve">uarter </w:t>
      </w:r>
      <w:r w:rsidRPr="0011192C">
        <w:rPr>
          <w:rFonts w:cs="Arial"/>
          <w:szCs w:val="24"/>
          <w:lang w:val="en-US"/>
        </w:rPr>
        <w:t>1 to Q</w:t>
      </w:r>
      <w:r w:rsidR="00764F3C">
        <w:rPr>
          <w:rFonts w:cs="Arial"/>
          <w:szCs w:val="24"/>
          <w:lang w:val="en-US"/>
        </w:rPr>
        <w:t xml:space="preserve">uarter </w:t>
      </w:r>
      <w:r w:rsidRPr="0011192C">
        <w:rPr>
          <w:rFonts w:cs="Arial"/>
          <w:szCs w:val="24"/>
          <w:lang w:val="en-US"/>
        </w:rPr>
        <w:t xml:space="preserve">2 is £348k, which </w:t>
      </w:r>
      <w:r w:rsidR="000F6980">
        <w:rPr>
          <w:rFonts w:cs="Arial"/>
          <w:szCs w:val="24"/>
          <w:lang w:val="en-US"/>
        </w:rPr>
        <w:t>largely</w:t>
      </w:r>
      <w:r w:rsidR="004E3277">
        <w:rPr>
          <w:rFonts w:cs="Arial"/>
          <w:szCs w:val="24"/>
          <w:lang w:val="en-US"/>
        </w:rPr>
        <w:t xml:space="preserve"> </w:t>
      </w:r>
      <w:r w:rsidRPr="0011192C">
        <w:rPr>
          <w:rFonts w:cs="Arial"/>
          <w:szCs w:val="24"/>
          <w:lang w:val="en-US"/>
        </w:rPr>
        <w:t>relates to the pressures resulting from interim management arrangements</w:t>
      </w:r>
      <w:r w:rsidR="004E3277">
        <w:rPr>
          <w:rFonts w:cs="Arial"/>
          <w:szCs w:val="24"/>
          <w:lang w:val="en-US"/>
        </w:rPr>
        <w:t xml:space="preserve"> and </w:t>
      </w:r>
      <w:r w:rsidRPr="0011192C">
        <w:rPr>
          <w:rFonts w:cs="Arial"/>
          <w:szCs w:val="24"/>
          <w:lang w:val="en-US"/>
        </w:rPr>
        <w:t>unachieved MTFS</w:t>
      </w:r>
      <w:r w:rsidR="00764F3C">
        <w:rPr>
          <w:rFonts w:cs="Arial"/>
          <w:szCs w:val="24"/>
          <w:lang w:val="en-US"/>
        </w:rPr>
        <w:t xml:space="preserve"> savings</w:t>
      </w:r>
      <w:r w:rsidRPr="0011192C">
        <w:rPr>
          <w:rFonts w:cs="Arial"/>
          <w:szCs w:val="24"/>
          <w:lang w:val="en-US"/>
        </w:rPr>
        <w:t xml:space="preserve"> relating to food waste route </w:t>
      </w:r>
      <w:proofErr w:type="spellStart"/>
      <w:r w:rsidRPr="0011192C">
        <w:rPr>
          <w:rFonts w:cs="Arial"/>
          <w:szCs w:val="24"/>
          <w:lang w:val="en-US"/>
        </w:rPr>
        <w:t>optimi</w:t>
      </w:r>
      <w:r w:rsidR="00764F3C">
        <w:rPr>
          <w:rFonts w:cs="Arial"/>
          <w:szCs w:val="24"/>
          <w:lang w:val="en-US"/>
        </w:rPr>
        <w:t>s</w:t>
      </w:r>
      <w:r w:rsidRPr="0011192C">
        <w:rPr>
          <w:rFonts w:cs="Arial"/>
          <w:szCs w:val="24"/>
          <w:lang w:val="en-US"/>
        </w:rPr>
        <w:t>ation</w:t>
      </w:r>
      <w:proofErr w:type="spellEnd"/>
      <w:r w:rsidR="004E3277">
        <w:rPr>
          <w:rFonts w:cs="Arial"/>
          <w:szCs w:val="24"/>
          <w:lang w:val="en-US"/>
        </w:rPr>
        <w:t>.</w:t>
      </w:r>
    </w:p>
    <w:p w14:paraId="13E1987D" w14:textId="77777777" w:rsidR="0011192C" w:rsidRPr="00207C16" w:rsidRDefault="0011192C" w:rsidP="00825AC5">
      <w:pPr>
        <w:pStyle w:val="ListParagraph"/>
        <w:jc w:val="both"/>
        <w:rPr>
          <w:rFonts w:cs="Arial"/>
          <w:szCs w:val="24"/>
          <w:lang w:val="en-US"/>
        </w:rPr>
      </w:pPr>
    </w:p>
    <w:p w14:paraId="5BD25A75" w14:textId="77777777" w:rsidR="00F608F4" w:rsidRPr="007C0D59" w:rsidRDefault="00F608F4">
      <w:pPr>
        <w:ind w:firstLine="567"/>
        <w:jc w:val="both"/>
        <w:rPr>
          <w:rFonts w:cs="Arial"/>
          <w:szCs w:val="24"/>
          <w:u w:val="single"/>
        </w:rPr>
      </w:pPr>
      <w:r w:rsidRPr="007C0D59">
        <w:rPr>
          <w:rFonts w:cs="Arial"/>
          <w:szCs w:val="24"/>
          <w:u w:val="single"/>
        </w:rPr>
        <w:t>Commissioning and Commercial Services</w:t>
      </w:r>
    </w:p>
    <w:p w14:paraId="3B362BC1" w14:textId="6A272FA8" w:rsidR="000C2074" w:rsidRPr="00647599" w:rsidRDefault="00CA0075">
      <w:pPr>
        <w:pStyle w:val="ListParagraph"/>
        <w:numPr>
          <w:ilvl w:val="0"/>
          <w:numId w:val="14"/>
        </w:numPr>
        <w:ind w:left="567" w:hanging="567"/>
        <w:jc w:val="both"/>
        <w:rPr>
          <w:rFonts w:cs="Arial"/>
          <w:szCs w:val="24"/>
          <w:lang w:val="en-US"/>
        </w:rPr>
      </w:pPr>
      <w:r w:rsidRPr="0023702C">
        <w:rPr>
          <w:rFonts w:cs="Arial"/>
          <w:szCs w:val="24"/>
        </w:rPr>
        <w:t>Commissioning and</w:t>
      </w:r>
      <w:r w:rsidR="000C2074" w:rsidRPr="009E4B36">
        <w:rPr>
          <w:rFonts w:cs="Arial"/>
          <w:szCs w:val="24"/>
        </w:rPr>
        <w:t xml:space="preserve"> Commercial services  forecast an </w:t>
      </w:r>
      <w:r w:rsidRPr="0023702C">
        <w:rPr>
          <w:rFonts w:cs="Arial"/>
          <w:szCs w:val="24"/>
        </w:rPr>
        <w:t>over</w:t>
      </w:r>
      <w:r w:rsidR="00221D9F">
        <w:rPr>
          <w:rFonts w:cs="Arial"/>
          <w:szCs w:val="24"/>
        </w:rPr>
        <w:t xml:space="preserve"> </w:t>
      </w:r>
      <w:r w:rsidRPr="0023702C">
        <w:rPr>
          <w:rFonts w:cs="Arial"/>
          <w:szCs w:val="24"/>
        </w:rPr>
        <w:t>spend of</w:t>
      </w:r>
      <w:r w:rsidR="000C2074" w:rsidRPr="009E4B36">
        <w:rPr>
          <w:rFonts w:cs="Arial"/>
          <w:szCs w:val="24"/>
        </w:rPr>
        <w:t xml:space="preserve"> £2</w:t>
      </w:r>
      <w:r w:rsidR="001F108C">
        <w:rPr>
          <w:rFonts w:cs="Arial"/>
          <w:szCs w:val="24"/>
        </w:rPr>
        <w:t>.14</w:t>
      </w:r>
      <w:r w:rsidR="002564BA">
        <w:rPr>
          <w:rFonts w:cs="Arial"/>
          <w:szCs w:val="24"/>
        </w:rPr>
        <w:t>3</w:t>
      </w:r>
      <w:r w:rsidR="001F108C">
        <w:rPr>
          <w:rFonts w:cs="Arial"/>
          <w:szCs w:val="24"/>
        </w:rPr>
        <w:t>m</w:t>
      </w:r>
      <w:r w:rsidR="000C2074" w:rsidRPr="009E4B36">
        <w:rPr>
          <w:rFonts w:cs="Arial"/>
          <w:szCs w:val="24"/>
        </w:rPr>
        <w:t xml:space="preserve"> and </w:t>
      </w:r>
      <w:r w:rsidR="00210E08" w:rsidRPr="009E4B36">
        <w:rPr>
          <w:rFonts w:cs="Arial"/>
          <w:szCs w:val="24"/>
        </w:rPr>
        <w:t xml:space="preserve">the main variances are </w:t>
      </w:r>
      <w:r w:rsidR="000C2074" w:rsidRPr="009E4B36">
        <w:rPr>
          <w:rFonts w:cs="Arial"/>
          <w:szCs w:val="24"/>
        </w:rPr>
        <w:t>detailed as follows</w:t>
      </w:r>
      <w:r w:rsidR="00C462A0">
        <w:rPr>
          <w:rFonts w:cs="Arial"/>
          <w:szCs w:val="24"/>
        </w:rPr>
        <w:t>:</w:t>
      </w:r>
    </w:p>
    <w:p w14:paraId="7DF338BD" w14:textId="77777777" w:rsidR="005A639A" w:rsidRPr="00647599" w:rsidRDefault="005A639A">
      <w:pPr>
        <w:pStyle w:val="ListParagraph"/>
        <w:ind w:left="567"/>
        <w:jc w:val="both"/>
        <w:rPr>
          <w:rFonts w:cs="Arial"/>
          <w:szCs w:val="24"/>
          <w:lang w:val="en-US"/>
        </w:rPr>
      </w:pPr>
    </w:p>
    <w:p w14:paraId="724DFCBB" w14:textId="5D0EA716" w:rsidR="001F108C" w:rsidRPr="00825AC5" w:rsidRDefault="001F108C">
      <w:pPr>
        <w:pStyle w:val="ListParagraph"/>
        <w:numPr>
          <w:ilvl w:val="0"/>
          <w:numId w:val="34"/>
        </w:numPr>
        <w:ind w:left="851" w:hanging="284"/>
        <w:jc w:val="both"/>
        <w:rPr>
          <w:rFonts w:cs="Arial"/>
          <w:szCs w:val="24"/>
          <w:lang w:val="en-US"/>
        </w:rPr>
      </w:pPr>
      <w:r w:rsidRPr="001F108C">
        <w:rPr>
          <w:rFonts w:cs="Arial"/>
          <w:szCs w:val="24"/>
        </w:rPr>
        <w:t xml:space="preserve">Facilities Management </w:t>
      </w:r>
      <w:r w:rsidR="00764F3C">
        <w:rPr>
          <w:rFonts w:cs="Arial"/>
          <w:szCs w:val="24"/>
        </w:rPr>
        <w:t xml:space="preserve">(FM) </w:t>
      </w:r>
      <w:r w:rsidRPr="001F108C">
        <w:rPr>
          <w:rFonts w:cs="Arial"/>
          <w:szCs w:val="24"/>
        </w:rPr>
        <w:t xml:space="preserve">reports an overall overspend of </w:t>
      </w:r>
      <w:r w:rsidR="005E465C">
        <w:rPr>
          <w:rFonts w:cs="Arial"/>
          <w:bCs/>
          <w:szCs w:val="24"/>
        </w:rPr>
        <w:t>£</w:t>
      </w:r>
      <w:r w:rsidR="00CF57A0">
        <w:rPr>
          <w:rFonts w:cs="Arial"/>
          <w:bCs/>
          <w:szCs w:val="24"/>
        </w:rPr>
        <w:t>1.3</w:t>
      </w:r>
      <w:r w:rsidR="003F5C50">
        <w:rPr>
          <w:rFonts w:cs="Arial"/>
          <w:bCs/>
          <w:szCs w:val="24"/>
        </w:rPr>
        <w:t>52</w:t>
      </w:r>
      <w:r w:rsidRPr="00825AC5">
        <w:rPr>
          <w:rFonts w:cs="Arial"/>
          <w:bCs/>
          <w:szCs w:val="24"/>
        </w:rPr>
        <w:t>m</w:t>
      </w:r>
      <w:r w:rsidRPr="001F108C">
        <w:rPr>
          <w:rFonts w:cs="Arial"/>
          <w:b/>
          <w:bCs/>
          <w:szCs w:val="24"/>
        </w:rPr>
        <w:t xml:space="preserve"> </w:t>
      </w:r>
      <w:r w:rsidRPr="001F108C">
        <w:rPr>
          <w:rFonts w:cs="Arial"/>
          <w:bCs/>
          <w:szCs w:val="24"/>
        </w:rPr>
        <w:t>(a movement of £1.330m from Q</w:t>
      </w:r>
      <w:r w:rsidR="009E2D95">
        <w:rPr>
          <w:rFonts w:cs="Arial"/>
          <w:bCs/>
          <w:szCs w:val="24"/>
        </w:rPr>
        <w:t xml:space="preserve">uarter </w:t>
      </w:r>
      <w:r w:rsidRPr="001F108C">
        <w:rPr>
          <w:rFonts w:cs="Arial"/>
          <w:bCs/>
          <w:szCs w:val="24"/>
        </w:rPr>
        <w:t>1)</w:t>
      </w:r>
      <w:r w:rsidRPr="001F108C">
        <w:rPr>
          <w:rFonts w:cs="Arial"/>
          <w:szCs w:val="24"/>
        </w:rPr>
        <w:t>. There is a forecast adverse variance on Schools’ cleaning service of £530</w:t>
      </w:r>
      <w:r w:rsidR="00764F3C">
        <w:rPr>
          <w:rFonts w:cs="Arial"/>
          <w:szCs w:val="24"/>
        </w:rPr>
        <w:t>k</w:t>
      </w:r>
      <w:r w:rsidRPr="001F108C">
        <w:rPr>
          <w:rFonts w:cs="Arial"/>
          <w:szCs w:val="24"/>
        </w:rPr>
        <w:t>.  There is also an income under achievement of £55k on other FM services provided to schools under</w:t>
      </w:r>
      <w:r w:rsidR="00764F3C">
        <w:rPr>
          <w:rFonts w:cs="Arial"/>
          <w:szCs w:val="24"/>
        </w:rPr>
        <w:t xml:space="preserve"> the </w:t>
      </w:r>
      <w:r w:rsidRPr="001F108C">
        <w:rPr>
          <w:rFonts w:cs="Arial"/>
          <w:szCs w:val="24"/>
        </w:rPr>
        <w:t>SLA as a result of the reduced uptake by schools and academies. The costs of corporate building cleaning have increased since the change of contractual arrangements last year. This is coupled with the cost pressure on responsive repairs, which is forecast to overspend by £767</w:t>
      </w:r>
      <w:r w:rsidR="00764F3C">
        <w:rPr>
          <w:rFonts w:cs="Arial"/>
          <w:szCs w:val="24"/>
        </w:rPr>
        <w:t>k</w:t>
      </w:r>
      <w:r w:rsidRPr="001F108C">
        <w:rPr>
          <w:rFonts w:cs="Arial"/>
          <w:szCs w:val="24"/>
        </w:rPr>
        <w:t xml:space="preserve"> overall. Works are on-going to review FM costs to provide a better understanding of the baseline</w:t>
      </w:r>
      <w:r w:rsidR="004E3277">
        <w:rPr>
          <w:rFonts w:cs="Arial"/>
          <w:szCs w:val="24"/>
        </w:rPr>
        <w:t xml:space="preserve"> and the development of an action plan to reduce pressure.</w:t>
      </w:r>
    </w:p>
    <w:p w14:paraId="5CD30664" w14:textId="77777777" w:rsidR="0033591C" w:rsidRPr="00825AC5" w:rsidRDefault="0033591C" w:rsidP="00825AC5">
      <w:pPr>
        <w:pStyle w:val="ListParagraph"/>
        <w:ind w:left="851"/>
        <w:jc w:val="both"/>
        <w:rPr>
          <w:rFonts w:cs="Arial"/>
          <w:szCs w:val="24"/>
          <w:lang w:val="en-US"/>
        </w:rPr>
      </w:pPr>
    </w:p>
    <w:p w14:paraId="7A519D8F" w14:textId="32BF03F7" w:rsidR="001F108C" w:rsidRPr="00825AC5" w:rsidRDefault="001F108C">
      <w:pPr>
        <w:pStyle w:val="ListParagraph"/>
        <w:numPr>
          <w:ilvl w:val="0"/>
          <w:numId w:val="34"/>
        </w:numPr>
        <w:ind w:left="851" w:hanging="284"/>
        <w:jc w:val="both"/>
        <w:rPr>
          <w:rFonts w:cs="Arial"/>
          <w:szCs w:val="24"/>
          <w:lang w:val="en-US"/>
        </w:rPr>
      </w:pPr>
      <w:r w:rsidRPr="001F108C">
        <w:rPr>
          <w:rFonts w:cs="Arial"/>
          <w:szCs w:val="24"/>
        </w:rPr>
        <w:t xml:space="preserve">Parking Services and Network Management forecast an overall adverse variance of </w:t>
      </w:r>
      <w:r w:rsidRPr="00825AC5">
        <w:rPr>
          <w:rFonts w:cs="Arial"/>
          <w:szCs w:val="24"/>
        </w:rPr>
        <w:t>£395k</w:t>
      </w:r>
      <w:r w:rsidRPr="001F108C">
        <w:rPr>
          <w:rFonts w:cs="Arial"/>
          <w:b/>
          <w:szCs w:val="24"/>
        </w:rPr>
        <w:t xml:space="preserve"> </w:t>
      </w:r>
      <w:r w:rsidRPr="001F108C">
        <w:rPr>
          <w:rFonts w:cs="Arial"/>
          <w:szCs w:val="24"/>
        </w:rPr>
        <w:t>(a movement of £407k from Q</w:t>
      </w:r>
      <w:r w:rsidR="009E2D95">
        <w:rPr>
          <w:rFonts w:cs="Arial"/>
          <w:szCs w:val="24"/>
        </w:rPr>
        <w:t xml:space="preserve">uarter </w:t>
      </w:r>
      <w:r w:rsidRPr="001F108C">
        <w:rPr>
          <w:rFonts w:cs="Arial"/>
          <w:szCs w:val="24"/>
        </w:rPr>
        <w:t>1). Based on the actual performance to date for parking enforcement, an adverse variance of £</w:t>
      </w:r>
      <w:r w:rsidR="00764F3C">
        <w:rPr>
          <w:rFonts w:cs="Arial"/>
          <w:szCs w:val="24"/>
        </w:rPr>
        <w:t>550k</w:t>
      </w:r>
      <w:r w:rsidRPr="001F108C">
        <w:rPr>
          <w:rFonts w:cs="Arial"/>
          <w:szCs w:val="24"/>
        </w:rPr>
        <w:t xml:space="preserve"> is forecast.  The MTFS target relating to CCTV commercialisation £200k </w:t>
      </w:r>
      <w:r w:rsidR="00764F3C">
        <w:rPr>
          <w:rFonts w:cs="Arial"/>
          <w:szCs w:val="24"/>
        </w:rPr>
        <w:t xml:space="preserve">will </w:t>
      </w:r>
      <w:r w:rsidRPr="001F108C">
        <w:rPr>
          <w:rFonts w:cs="Arial"/>
          <w:szCs w:val="24"/>
        </w:rPr>
        <w:t>not</w:t>
      </w:r>
      <w:r w:rsidR="00764F3C">
        <w:rPr>
          <w:rFonts w:cs="Arial"/>
          <w:szCs w:val="24"/>
        </w:rPr>
        <w:t xml:space="preserve"> be</w:t>
      </w:r>
      <w:r w:rsidRPr="001F108C">
        <w:rPr>
          <w:rFonts w:cs="Arial"/>
          <w:szCs w:val="24"/>
        </w:rPr>
        <w:t xml:space="preserve"> achieved in 19/20 as the construction of the Alarm Receiving Centre is delayed to align with the depot construction programme timeline. Car Parks </w:t>
      </w:r>
      <w:r w:rsidR="001878D3">
        <w:rPr>
          <w:rFonts w:cs="Arial"/>
          <w:szCs w:val="24"/>
        </w:rPr>
        <w:t xml:space="preserve">are </w:t>
      </w:r>
      <w:r w:rsidRPr="001F108C">
        <w:rPr>
          <w:rFonts w:cs="Arial"/>
          <w:szCs w:val="24"/>
        </w:rPr>
        <w:t>experienc</w:t>
      </w:r>
      <w:r w:rsidR="001878D3">
        <w:rPr>
          <w:rFonts w:cs="Arial"/>
          <w:szCs w:val="24"/>
        </w:rPr>
        <w:t>ing</w:t>
      </w:r>
      <w:r w:rsidRPr="001F108C">
        <w:rPr>
          <w:rFonts w:cs="Arial"/>
          <w:szCs w:val="24"/>
        </w:rPr>
        <w:t xml:space="preserve"> a cost pressure of £66k primarily on the use of agency staff and unbudgeted card transaction fees. These pressures are partially offset by a forecast over-achievement of parking permits income (£293k) and Network Management streets work income (£1</w:t>
      </w:r>
      <w:r w:rsidR="002564BA">
        <w:rPr>
          <w:rFonts w:cs="Arial"/>
          <w:szCs w:val="24"/>
        </w:rPr>
        <w:t>28</w:t>
      </w:r>
      <w:r w:rsidRPr="001F108C">
        <w:rPr>
          <w:rFonts w:cs="Arial"/>
          <w:szCs w:val="24"/>
        </w:rPr>
        <w:t>k)</w:t>
      </w:r>
      <w:r>
        <w:rPr>
          <w:rFonts w:cs="Arial"/>
          <w:szCs w:val="24"/>
        </w:rPr>
        <w:t>.</w:t>
      </w:r>
    </w:p>
    <w:p w14:paraId="26A91028" w14:textId="77777777" w:rsidR="0033591C" w:rsidRPr="00825AC5" w:rsidRDefault="0033591C" w:rsidP="00825AC5">
      <w:pPr>
        <w:pStyle w:val="ListParagraph"/>
        <w:ind w:left="851"/>
        <w:jc w:val="both"/>
        <w:rPr>
          <w:rFonts w:cs="Arial"/>
          <w:szCs w:val="24"/>
          <w:lang w:val="en-US"/>
        </w:rPr>
      </w:pPr>
    </w:p>
    <w:p w14:paraId="61292D32" w14:textId="7B10AFCC" w:rsidR="001F108C" w:rsidRPr="00825AC5" w:rsidRDefault="001878D3">
      <w:pPr>
        <w:pStyle w:val="ListParagraph"/>
        <w:numPr>
          <w:ilvl w:val="0"/>
          <w:numId w:val="34"/>
        </w:numPr>
        <w:ind w:left="851" w:hanging="284"/>
        <w:jc w:val="both"/>
        <w:rPr>
          <w:rFonts w:cs="Arial"/>
          <w:szCs w:val="24"/>
          <w:lang w:val="en-US"/>
        </w:rPr>
      </w:pPr>
      <w:r>
        <w:rPr>
          <w:rFonts w:cs="Arial"/>
          <w:szCs w:val="24"/>
        </w:rPr>
        <w:t xml:space="preserve">The </w:t>
      </w:r>
      <w:r w:rsidR="001F108C" w:rsidRPr="001F108C">
        <w:rPr>
          <w:rFonts w:cs="Arial"/>
          <w:szCs w:val="24"/>
        </w:rPr>
        <w:t xml:space="preserve">Catering Service reports an adverse variance of </w:t>
      </w:r>
      <w:r w:rsidR="001F108C" w:rsidRPr="00825AC5">
        <w:rPr>
          <w:rFonts w:cs="Arial"/>
          <w:szCs w:val="24"/>
        </w:rPr>
        <w:t>£104k,</w:t>
      </w:r>
      <w:r w:rsidR="001F108C" w:rsidRPr="001F108C">
        <w:rPr>
          <w:rFonts w:cs="Arial"/>
          <w:szCs w:val="24"/>
        </w:rPr>
        <w:t xml:space="preserve"> primarily due to an under achievement </w:t>
      </w:r>
      <w:r>
        <w:rPr>
          <w:rFonts w:cs="Arial"/>
          <w:szCs w:val="24"/>
        </w:rPr>
        <w:t xml:space="preserve">of </w:t>
      </w:r>
      <w:r w:rsidR="001F108C" w:rsidRPr="001F108C">
        <w:rPr>
          <w:rFonts w:cs="Arial"/>
          <w:szCs w:val="24"/>
        </w:rPr>
        <w:t>income</w:t>
      </w:r>
      <w:r w:rsidR="001F108C">
        <w:rPr>
          <w:rFonts w:cs="Arial"/>
          <w:szCs w:val="24"/>
        </w:rPr>
        <w:t>.</w:t>
      </w:r>
    </w:p>
    <w:p w14:paraId="74A95344" w14:textId="77777777" w:rsidR="00BC6EAB" w:rsidRPr="00825AC5" w:rsidRDefault="00BC6EAB" w:rsidP="00825AC5">
      <w:pPr>
        <w:pStyle w:val="ListParagraph"/>
        <w:ind w:left="851"/>
        <w:jc w:val="both"/>
        <w:rPr>
          <w:rFonts w:cs="Arial"/>
          <w:szCs w:val="24"/>
          <w:lang w:val="en-US"/>
        </w:rPr>
      </w:pPr>
    </w:p>
    <w:p w14:paraId="68F8E06B" w14:textId="02CAC6DE" w:rsidR="001F108C" w:rsidRPr="00825AC5" w:rsidRDefault="001F108C">
      <w:pPr>
        <w:pStyle w:val="ListParagraph"/>
        <w:numPr>
          <w:ilvl w:val="0"/>
          <w:numId w:val="34"/>
        </w:numPr>
        <w:ind w:left="851" w:hanging="284"/>
        <w:jc w:val="both"/>
        <w:rPr>
          <w:rFonts w:cs="Arial"/>
          <w:szCs w:val="24"/>
          <w:lang w:val="en-US"/>
        </w:rPr>
      </w:pPr>
      <w:r w:rsidRPr="001F108C">
        <w:rPr>
          <w:rFonts w:cs="Arial"/>
          <w:szCs w:val="24"/>
        </w:rPr>
        <w:t xml:space="preserve">There is an under achievement of Phoenix commercial rent income, primarily due to the unachieved MTFS target for depot redevelopment as a result of the revised construction programme timeline. Atkins House units are now let, however due to the necessity to re-route gas mains which led to a delay in letting the properties, the MTFS target is therefore partially achieved in 19/20. These pressures are partially mitigated by an over achievement of income within </w:t>
      </w:r>
      <w:r w:rsidR="001878D3">
        <w:rPr>
          <w:rFonts w:cs="Arial"/>
          <w:szCs w:val="24"/>
        </w:rPr>
        <w:t xml:space="preserve">the </w:t>
      </w:r>
      <w:r w:rsidRPr="001F108C">
        <w:rPr>
          <w:rFonts w:cs="Arial"/>
          <w:szCs w:val="24"/>
        </w:rPr>
        <w:t xml:space="preserve">existing property portfolio, resulting in a net adverse variance of </w:t>
      </w:r>
      <w:r w:rsidRPr="00825AC5">
        <w:rPr>
          <w:rFonts w:cs="Arial"/>
          <w:bCs/>
          <w:szCs w:val="24"/>
        </w:rPr>
        <w:t>£194k</w:t>
      </w:r>
      <w:r w:rsidRPr="001F108C">
        <w:rPr>
          <w:rFonts w:cs="Arial"/>
          <w:szCs w:val="24"/>
        </w:rPr>
        <w:t xml:space="preserve"> (a favourable movement of (£26k) from Q</w:t>
      </w:r>
      <w:r w:rsidR="009E2D95">
        <w:rPr>
          <w:rFonts w:cs="Arial"/>
          <w:szCs w:val="24"/>
        </w:rPr>
        <w:t xml:space="preserve">uarter </w:t>
      </w:r>
      <w:r w:rsidRPr="001F108C">
        <w:rPr>
          <w:rFonts w:cs="Arial"/>
          <w:szCs w:val="24"/>
        </w:rPr>
        <w:t>1)</w:t>
      </w:r>
      <w:r>
        <w:rPr>
          <w:rFonts w:cs="Arial"/>
          <w:szCs w:val="24"/>
        </w:rPr>
        <w:t>.</w:t>
      </w:r>
    </w:p>
    <w:p w14:paraId="3C90CEA8" w14:textId="77777777" w:rsidR="0033591C" w:rsidRPr="00207C16" w:rsidRDefault="0033591C" w:rsidP="00825AC5">
      <w:pPr>
        <w:pStyle w:val="ListParagraph"/>
        <w:jc w:val="both"/>
        <w:rPr>
          <w:rFonts w:cs="Arial"/>
          <w:szCs w:val="24"/>
          <w:lang w:val="en-US"/>
        </w:rPr>
      </w:pPr>
    </w:p>
    <w:p w14:paraId="6781151A" w14:textId="408FBC96" w:rsidR="001F108C" w:rsidRPr="00825AC5" w:rsidRDefault="001F108C">
      <w:pPr>
        <w:pStyle w:val="ListParagraph"/>
        <w:numPr>
          <w:ilvl w:val="0"/>
          <w:numId w:val="34"/>
        </w:numPr>
        <w:ind w:left="851" w:hanging="284"/>
        <w:jc w:val="both"/>
        <w:rPr>
          <w:rFonts w:cs="Arial"/>
          <w:szCs w:val="24"/>
          <w:lang w:val="en-US"/>
        </w:rPr>
      </w:pPr>
      <w:r w:rsidRPr="001F108C">
        <w:rPr>
          <w:rFonts w:cs="Arial"/>
          <w:szCs w:val="24"/>
        </w:rPr>
        <w:t xml:space="preserve">There is a </w:t>
      </w:r>
      <w:r w:rsidR="00712F06">
        <w:rPr>
          <w:rFonts w:cs="Arial"/>
          <w:szCs w:val="24"/>
        </w:rPr>
        <w:t>net pressure of £99k elsewhere within the division, due primarily to cost over-run in public mortuary and procurement MTFS not fully achieved.</w:t>
      </w:r>
    </w:p>
    <w:p w14:paraId="414FFAC5" w14:textId="77777777" w:rsidR="0033591C" w:rsidRPr="00207C16" w:rsidRDefault="0033591C" w:rsidP="00825AC5">
      <w:pPr>
        <w:pStyle w:val="ListParagraph"/>
        <w:jc w:val="both"/>
        <w:rPr>
          <w:rFonts w:cs="Arial"/>
          <w:szCs w:val="24"/>
          <w:lang w:val="en-US"/>
        </w:rPr>
      </w:pPr>
    </w:p>
    <w:p w14:paraId="1D52A518" w14:textId="77777777" w:rsidR="00FA24F2" w:rsidRDefault="001F108C" w:rsidP="00651BFC">
      <w:pPr>
        <w:pStyle w:val="ListParagraph"/>
        <w:numPr>
          <w:ilvl w:val="0"/>
          <w:numId w:val="14"/>
        </w:numPr>
        <w:ind w:left="567" w:hanging="567"/>
        <w:jc w:val="both"/>
        <w:rPr>
          <w:rFonts w:cs="Arial"/>
          <w:szCs w:val="24"/>
          <w:lang w:val="en-US"/>
        </w:rPr>
      </w:pPr>
      <w:r w:rsidRPr="001F108C">
        <w:rPr>
          <w:rFonts w:cs="Arial"/>
          <w:szCs w:val="24"/>
        </w:rPr>
        <w:t xml:space="preserve">The </w:t>
      </w:r>
      <w:r w:rsidRPr="001F108C">
        <w:rPr>
          <w:rFonts w:cs="Arial"/>
          <w:szCs w:val="24"/>
          <w:lang w:val="en-US"/>
        </w:rPr>
        <w:t xml:space="preserve">movement of the adverse variance from </w:t>
      </w:r>
      <w:r w:rsidR="00297D4C" w:rsidRPr="001F108C">
        <w:rPr>
          <w:rFonts w:cs="Arial"/>
          <w:szCs w:val="24"/>
          <w:lang w:val="en-US"/>
        </w:rPr>
        <w:t>Q</w:t>
      </w:r>
      <w:r w:rsidR="00297D4C">
        <w:rPr>
          <w:rFonts w:cs="Arial"/>
          <w:szCs w:val="24"/>
          <w:lang w:val="en-US"/>
        </w:rPr>
        <w:t>uarter</w:t>
      </w:r>
      <w:r w:rsidR="009E2D95">
        <w:rPr>
          <w:rFonts w:cs="Arial"/>
          <w:szCs w:val="24"/>
          <w:lang w:val="en-US"/>
        </w:rPr>
        <w:t xml:space="preserve"> </w:t>
      </w:r>
      <w:r w:rsidRPr="001F108C">
        <w:rPr>
          <w:rFonts w:cs="Arial"/>
          <w:szCs w:val="24"/>
          <w:lang w:val="en-US"/>
        </w:rPr>
        <w:t>1 to Q</w:t>
      </w:r>
      <w:r w:rsidR="009E2D95">
        <w:rPr>
          <w:rFonts w:cs="Arial"/>
          <w:szCs w:val="24"/>
          <w:lang w:val="en-US"/>
        </w:rPr>
        <w:t xml:space="preserve">uarter </w:t>
      </w:r>
      <w:r w:rsidRPr="001F108C">
        <w:rPr>
          <w:rFonts w:cs="Arial"/>
          <w:szCs w:val="24"/>
          <w:lang w:val="en-US"/>
        </w:rPr>
        <w:t>2 is £1.889m. At Q</w:t>
      </w:r>
      <w:r w:rsidR="009E2D95">
        <w:rPr>
          <w:rFonts w:cs="Arial"/>
          <w:szCs w:val="24"/>
          <w:lang w:val="en-US"/>
        </w:rPr>
        <w:t xml:space="preserve">uarter </w:t>
      </w:r>
      <w:r w:rsidRPr="001F108C">
        <w:rPr>
          <w:rFonts w:cs="Arial"/>
          <w:szCs w:val="24"/>
          <w:lang w:val="en-US"/>
        </w:rPr>
        <w:t xml:space="preserve">1, the pressures reported relate primarily to the under achievement of commercial rent income. A thorough budget review was undertaken over the summer period to assess the financial impact of the pressures experienced by various service areas, and this exercise helped to inform a more accurate forecast for </w:t>
      </w:r>
      <w:r w:rsidR="00297D4C" w:rsidRPr="001F108C">
        <w:rPr>
          <w:rFonts w:cs="Arial"/>
          <w:szCs w:val="24"/>
          <w:lang w:val="en-US"/>
        </w:rPr>
        <w:t>Q</w:t>
      </w:r>
      <w:r w:rsidR="00297D4C">
        <w:rPr>
          <w:rFonts w:cs="Arial"/>
          <w:szCs w:val="24"/>
          <w:lang w:val="en-US"/>
        </w:rPr>
        <w:t>uarter</w:t>
      </w:r>
      <w:r w:rsidR="009E2D95">
        <w:rPr>
          <w:rFonts w:cs="Arial"/>
          <w:szCs w:val="24"/>
          <w:lang w:val="en-US"/>
        </w:rPr>
        <w:t xml:space="preserve"> </w:t>
      </w:r>
      <w:r w:rsidRPr="001F108C">
        <w:rPr>
          <w:rFonts w:cs="Arial"/>
          <w:szCs w:val="24"/>
          <w:lang w:val="en-US"/>
        </w:rPr>
        <w:t>2. Cost pressures identified in Facilities Management,</w:t>
      </w:r>
      <w:r w:rsidR="001878D3">
        <w:rPr>
          <w:rFonts w:cs="Arial"/>
          <w:szCs w:val="24"/>
          <w:lang w:val="en-US"/>
        </w:rPr>
        <w:t xml:space="preserve"> the </w:t>
      </w:r>
      <w:r w:rsidRPr="001F108C">
        <w:rPr>
          <w:rFonts w:cs="Arial"/>
          <w:szCs w:val="24"/>
          <w:lang w:val="en-US"/>
        </w:rPr>
        <w:t xml:space="preserve">Catering Service and Contracts Management are continually reviewed to ascertain the on-going impact on the budgets. Income generation represents a key part of the division’s budget. </w:t>
      </w:r>
      <w:r w:rsidR="006E1B96" w:rsidRPr="001F108C">
        <w:rPr>
          <w:rFonts w:cs="Arial"/>
          <w:szCs w:val="24"/>
          <w:lang w:val="en-US"/>
        </w:rPr>
        <w:t xml:space="preserve">As the majority </w:t>
      </w:r>
      <w:r w:rsidR="00A278A7">
        <w:rPr>
          <w:rFonts w:cs="Arial"/>
          <w:szCs w:val="24"/>
          <w:lang w:val="en-US"/>
        </w:rPr>
        <w:t>are</w:t>
      </w:r>
      <w:r w:rsidR="006E1B96" w:rsidRPr="001F108C">
        <w:rPr>
          <w:rFonts w:cs="Arial"/>
          <w:szCs w:val="24"/>
          <w:lang w:val="en-US"/>
        </w:rPr>
        <w:t xml:space="preserve"> discretionary services, they are subject to demand and therefore the income can fluctuate throughout the year</w:t>
      </w:r>
      <w:r w:rsidR="00115A71">
        <w:rPr>
          <w:rFonts w:cs="Arial"/>
          <w:szCs w:val="24"/>
          <w:lang w:val="en-US"/>
        </w:rPr>
        <w:t>.</w:t>
      </w:r>
      <w:r w:rsidR="006E1B96" w:rsidRPr="001F108C">
        <w:rPr>
          <w:rFonts w:cs="Arial"/>
          <w:szCs w:val="24"/>
          <w:lang w:val="en-US"/>
        </w:rPr>
        <w:t xml:space="preserve"> </w:t>
      </w:r>
      <w:r w:rsidRPr="001F108C">
        <w:rPr>
          <w:rFonts w:cs="Arial"/>
          <w:szCs w:val="24"/>
          <w:lang w:val="en-US"/>
        </w:rPr>
        <w:t xml:space="preserve">Income will </w:t>
      </w:r>
      <w:r w:rsidR="00115A71">
        <w:rPr>
          <w:rFonts w:cs="Arial"/>
          <w:szCs w:val="24"/>
          <w:lang w:val="en-US"/>
        </w:rPr>
        <w:t xml:space="preserve">continue to </w:t>
      </w:r>
      <w:r w:rsidRPr="001F108C">
        <w:rPr>
          <w:rFonts w:cs="Arial"/>
          <w:szCs w:val="24"/>
          <w:lang w:val="en-US"/>
        </w:rPr>
        <w:t xml:space="preserve">be closely monitored and </w:t>
      </w:r>
      <w:r w:rsidR="00115A71">
        <w:rPr>
          <w:rFonts w:cs="Arial"/>
          <w:szCs w:val="24"/>
          <w:lang w:val="en-US"/>
        </w:rPr>
        <w:t xml:space="preserve">the quantum of the variances is being </w:t>
      </w:r>
      <w:r w:rsidR="000F6980">
        <w:rPr>
          <w:rFonts w:cs="Arial"/>
          <w:szCs w:val="24"/>
          <w:lang w:val="en-US"/>
        </w:rPr>
        <w:t>addressed</w:t>
      </w:r>
      <w:r w:rsidR="00115A71">
        <w:rPr>
          <w:rFonts w:cs="Arial"/>
          <w:szCs w:val="24"/>
          <w:lang w:val="en-US"/>
        </w:rPr>
        <w:t xml:space="preserve"> through the </w:t>
      </w:r>
      <w:r w:rsidR="000F6980">
        <w:rPr>
          <w:rFonts w:cs="Arial"/>
          <w:szCs w:val="24"/>
          <w:lang w:val="en-US"/>
        </w:rPr>
        <w:t>annual</w:t>
      </w:r>
      <w:r w:rsidR="00115A71">
        <w:rPr>
          <w:rFonts w:cs="Arial"/>
          <w:szCs w:val="24"/>
          <w:lang w:val="en-US"/>
        </w:rPr>
        <w:t xml:space="preserve"> budget refresh process which is subject to a report elsewhere in the agenda.</w:t>
      </w:r>
    </w:p>
    <w:p w14:paraId="667E1FAB" w14:textId="06945B2B" w:rsidR="00651BFC" w:rsidRDefault="00446D9A" w:rsidP="008933D6">
      <w:pPr>
        <w:pStyle w:val="ListParagraph"/>
        <w:ind w:left="567"/>
        <w:jc w:val="both"/>
        <w:rPr>
          <w:rFonts w:cs="Arial"/>
          <w:szCs w:val="24"/>
          <w:lang w:val="en-US"/>
        </w:rPr>
      </w:pPr>
      <w:r>
        <w:rPr>
          <w:rFonts w:cs="Arial"/>
          <w:szCs w:val="24"/>
          <w:lang w:val="en-US"/>
        </w:rPr>
        <w:t xml:space="preserve"> </w:t>
      </w:r>
    </w:p>
    <w:p w14:paraId="7E300B16" w14:textId="3AE5CF68" w:rsidR="00FA24F2" w:rsidRDefault="00FA24F2" w:rsidP="00651BFC">
      <w:pPr>
        <w:pStyle w:val="ListParagraph"/>
        <w:numPr>
          <w:ilvl w:val="0"/>
          <w:numId w:val="14"/>
        </w:numPr>
        <w:ind w:left="567" w:hanging="567"/>
        <w:jc w:val="both"/>
        <w:rPr>
          <w:rFonts w:cs="Arial"/>
          <w:szCs w:val="24"/>
          <w:lang w:val="en-US"/>
        </w:rPr>
      </w:pPr>
      <w:r w:rsidRPr="00FA24F2">
        <w:rPr>
          <w:rFonts w:cs="Arial"/>
          <w:szCs w:val="24"/>
          <w:lang w:val="en-US"/>
        </w:rPr>
        <w:t xml:space="preserve">The 2020/21 draft budget,  subject to a separate report on the agenda, goes into the detailed analysis of the emerging forecast pressures within the  Community directorate,  their estimated impact into 2020/21 and the corrective actions required. The actions in the 2020/21 budget are </w:t>
      </w:r>
      <w:proofErr w:type="spellStart"/>
      <w:r w:rsidRPr="00FA24F2">
        <w:rPr>
          <w:rFonts w:cs="Arial"/>
          <w:szCs w:val="24"/>
          <w:lang w:val="en-US"/>
        </w:rPr>
        <w:t>summarised</w:t>
      </w:r>
      <w:proofErr w:type="spellEnd"/>
      <w:r w:rsidRPr="00FA24F2">
        <w:rPr>
          <w:rFonts w:cs="Arial"/>
          <w:szCs w:val="24"/>
          <w:lang w:val="en-US"/>
        </w:rPr>
        <w:t xml:space="preserve"> below</w:t>
      </w:r>
      <w:r>
        <w:rPr>
          <w:rFonts w:cs="Arial"/>
          <w:szCs w:val="24"/>
          <w:lang w:val="en-US"/>
        </w:rPr>
        <w:t>:</w:t>
      </w:r>
    </w:p>
    <w:p w14:paraId="7D90CF18" w14:textId="77777777" w:rsidR="00651BFC" w:rsidRPr="00651BFC" w:rsidRDefault="00651BFC" w:rsidP="00651BFC">
      <w:pPr>
        <w:jc w:val="both"/>
        <w:rPr>
          <w:rFonts w:cs="Arial"/>
          <w:szCs w:val="24"/>
          <w:lang w:val="en-US"/>
        </w:rPr>
      </w:pPr>
    </w:p>
    <w:p w14:paraId="77E06F3C" w14:textId="520B7D63" w:rsidR="00D71E08" w:rsidRDefault="00651BFC" w:rsidP="008933D6">
      <w:pPr>
        <w:pStyle w:val="ListParagraph"/>
        <w:numPr>
          <w:ilvl w:val="0"/>
          <w:numId w:val="71"/>
        </w:numPr>
        <w:ind w:left="851" w:hanging="284"/>
        <w:jc w:val="both"/>
        <w:rPr>
          <w:rFonts w:cs="Arial"/>
          <w:szCs w:val="24"/>
          <w:lang w:val="en-US"/>
        </w:rPr>
      </w:pPr>
      <w:r w:rsidRPr="00D71E08">
        <w:rPr>
          <w:rFonts w:cs="Arial"/>
          <w:szCs w:val="24"/>
          <w:lang w:val="en-US"/>
        </w:rPr>
        <w:t>£2.</w:t>
      </w:r>
      <w:r w:rsidR="002B4991">
        <w:rPr>
          <w:rFonts w:cs="Arial"/>
          <w:szCs w:val="24"/>
          <w:lang w:val="en-US"/>
        </w:rPr>
        <w:t>2</w:t>
      </w:r>
      <w:r w:rsidRPr="00D71E08">
        <w:rPr>
          <w:rFonts w:cs="Arial"/>
          <w:szCs w:val="24"/>
          <w:lang w:val="en-US"/>
        </w:rPr>
        <w:t>73m</w:t>
      </w:r>
      <w:r w:rsidR="00D71E08">
        <w:rPr>
          <w:rFonts w:cs="Arial"/>
          <w:szCs w:val="24"/>
          <w:lang w:val="en-US"/>
        </w:rPr>
        <w:t xml:space="preserve"> of pressures are </w:t>
      </w:r>
      <w:r w:rsidR="002B4991">
        <w:rPr>
          <w:rFonts w:cs="Arial"/>
          <w:szCs w:val="24"/>
          <w:lang w:val="en-US"/>
        </w:rPr>
        <w:t>driven by external factors or where planned actions are no longer operationally</w:t>
      </w:r>
      <w:r w:rsidR="00DE31A8">
        <w:rPr>
          <w:rFonts w:cs="Arial"/>
          <w:szCs w:val="24"/>
          <w:lang w:val="en-US"/>
        </w:rPr>
        <w:t>.</w:t>
      </w:r>
      <w:r w:rsidR="002B4991">
        <w:rPr>
          <w:rFonts w:cs="Arial"/>
          <w:szCs w:val="24"/>
          <w:lang w:val="en-US"/>
        </w:rPr>
        <w:t xml:space="preserve"> </w:t>
      </w:r>
    </w:p>
    <w:p w14:paraId="047A451C" w14:textId="77777777" w:rsidR="00FA24F2" w:rsidRDefault="00FA24F2" w:rsidP="008933D6">
      <w:pPr>
        <w:pStyle w:val="ListParagraph"/>
        <w:ind w:left="567"/>
        <w:jc w:val="both"/>
        <w:rPr>
          <w:rFonts w:cs="Arial"/>
          <w:szCs w:val="24"/>
          <w:lang w:val="en-US"/>
        </w:rPr>
      </w:pPr>
    </w:p>
    <w:p w14:paraId="1DD61031" w14:textId="77777777" w:rsidR="00DE31A8" w:rsidRDefault="00D71E08" w:rsidP="008933D6">
      <w:pPr>
        <w:pStyle w:val="ListParagraph"/>
        <w:numPr>
          <w:ilvl w:val="0"/>
          <w:numId w:val="69"/>
        </w:numPr>
        <w:ind w:left="851" w:hanging="284"/>
        <w:jc w:val="both"/>
        <w:rPr>
          <w:rFonts w:cs="Arial"/>
          <w:szCs w:val="24"/>
          <w:lang w:val="en-US"/>
        </w:rPr>
      </w:pPr>
      <w:r>
        <w:rPr>
          <w:rFonts w:cs="Arial"/>
          <w:szCs w:val="24"/>
          <w:lang w:val="en-US"/>
        </w:rPr>
        <w:t>The current MTFS includes additional rental income due from the two additional floors being built at the depot, £473k in 2020/21. Until the conclusion of the process</w:t>
      </w:r>
      <w:r w:rsidR="003B596E">
        <w:rPr>
          <w:rFonts w:cs="Arial"/>
          <w:szCs w:val="24"/>
          <w:lang w:val="en-US"/>
        </w:rPr>
        <w:t xml:space="preserve"> to procure </w:t>
      </w:r>
      <w:r>
        <w:rPr>
          <w:rFonts w:cs="Arial"/>
          <w:szCs w:val="24"/>
          <w:lang w:val="en-US"/>
        </w:rPr>
        <w:t xml:space="preserve">the </w:t>
      </w:r>
      <w:r w:rsidR="003B596E">
        <w:rPr>
          <w:rFonts w:cs="Arial"/>
          <w:szCs w:val="24"/>
          <w:lang w:val="en-US"/>
        </w:rPr>
        <w:t>Strategic Development Partner to take forward the Councils Regeneration Plans, it cannot be determined if the two additional floors at the depot will be required for staff accommodation or commercial rental purposes. It is therefore considered prudent to remove the income target from the MTFS</w:t>
      </w:r>
      <w:r w:rsidR="00E453EA">
        <w:rPr>
          <w:rFonts w:cs="Arial"/>
          <w:szCs w:val="24"/>
          <w:lang w:val="en-US"/>
        </w:rPr>
        <w:t>,</w:t>
      </w:r>
      <w:r w:rsidR="003B596E">
        <w:rPr>
          <w:rFonts w:cs="Arial"/>
          <w:szCs w:val="24"/>
          <w:lang w:val="en-US"/>
        </w:rPr>
        <w:t xml:space="preserve"> and when plans are </w:t>
      </w:r>
      <w:proofErr w:type="spellStart"/>
      <w:r w:rsidR="00E453EA">
        <w:rPr>
          <w:rFonts w:cs="Arial"/>
          <w:szCs w:val="24"/>
          <w:lang w:val="en-US"/>
        </w:rPr>
        <w:t>finalised</w:t>
      </w:r>
      <w:proofErr w:type="spellEnd"/>
      <w:r w:rsidR="00E453EA">
        <w:rPr>
          <w:rFonts w:cs="Arial"/>
          <w:szCs w:val="24"/>
          <w:lang w:val="en-US"/>
        </w:rPr>
        <w:t>, a</w:t>
      </w:r>
      <w:r w:rsidR="003B596E">
        <w:rPr>
          <w:rFonts w:cs="Arial"/>
          <w:szCs w:val="24"/>
          <w:lang w:val="en-US"/>
        </w:rPr>
        <w:t xml:space="preserve"> decision can be made whether the target</w:t>
      </w:r>
      <w:r w:rsidR="00E453EA">
        <w:rPr>
          <w:rFonts w:cs="Arial"/>
          <w:szCs w:val="24"/>
          <w:lang w:val="en-US"/>
        </w:rPr>
        <w:t xml:space="preserve"> can be</w:t>
      </w:r>
      <w:r w:rsidR="003B596E">
        <w:rPr>
          <w:rFonts w:cs="Arial"/>
          <w:szCs w:val="24"/>
          <w:lang w:val="en-US"/>
        </w:rPr>
        <w:t xml:space="preserve"> re-instated. Therefore growth of £473k has been provided for in the 2020/21 draft budget</w:t>
      </w:r>
      <w:r w:rsidR="00DE31A8">
        <w:rPr>
          <w:rFonts w:cs="Arial"/>
          <w:szCs w:val="24"/>
          <w:lang w:val="en-US"/>
        </w:rPr>
        <w:t>.</w:t>
      </w:r>
    </w:p>
    <w:p w14:paraId="086C4C51" w14:textId="503919D3" w:rsidR="00D71E08" w:rsidRDefault="00D71E08" w:rsidP="008933D6">
      <w:pPr>
        <w:pStyle w:val="ListParagraph"/>
        <w:ind w:left="1287"/>
        <w:jc w:val="both"/>
        <w:rPr>
          <w:rFonts w:cs="Arial"/>
          <w:szCs w:val="24"/>
          <w:lang w:val="en-US"/>
        </w:rPr>
      </w:pPr>
    </w:p>
    <w:p w14:paraId="11531885" w14:textId="39A084E0" w:rsidR="00FA24F2" w:rsidRDefault="002B4991" w:rsidP="008933D6">
      <w:pPr>
        <w:pStyle w:val="ListParagraph"/>
        <w:numPr>
          <w:ilvl w:val="0"/>
          <w:numId w:val="69"/>
        </w:numPr>
        <w:ind w:left="851" w:hanging="284"/>
        <w:jc w:val="both"/>
        <w:rPr>
          <w:rFonts w:cs="Arial"/>
          <w:szCs w:val="24"/>
          <w:lang w:val="en-US"/>
        </w:rPr>
      </w:pPr>
      <w:r>
        <w:rPr>
          <w:rFonts w:cs="Arial"/>
          <w:szCs w:val="24"/>
          <w:lang w:val="en-US"/>
        </w:rPr>
        <w:t>£200k is provided for investment in 2020/21 into Corporate Health &amp; Safety</w:t>
      </w:r>
      <w:r w:rsidR="002A360B">
        <w:rPr>
          <w:rFonts w:cs="Arial"/>
          <w:szCs w:val="24"/>
          <w:lang w:val="en-US"/>
        </w:rPr>
        <w:t>.</w:t>
      </w:r>
    </w:p>
    <w:p w14:paraId="73CCC348" w14:textId="77777777" w:rsidR="002A360B" w:rsidRPr="008933D6" w:rsidRDefault="002A360B" w:rsidP="008933D6">
      <w:pPr>
        <w:pStyle w:val="ListParagraph"/>
        <w:ind w:left="1287"/>
        <w:jc w:val="both"/>
        <w:rPr>
          <w:rFonts w:cs="Arial"/>
          <w:szCs w:val="24"/>
          <w:lang w:val="en-US"/>
        </w:rPr>
      </w:pPr>
    </w:p>
    <w:p w14:paraId="03F2561F" w14:textId="4A9682AD" w:rsidR="00E453EA" w:rsidRDefault="003B596E" w:rsidP="008933D6">
      <w:pPr>
        <w:pStyle w:val="ListParagraph"/>
        <w:numPr>
          <w:ilvl w:val="0"/>
          <w:numId w:val="69"/>
        </w:numPr>
        <w:ind w:left="851" w:hanging="284"/>
        <w:jc w:val="both"/>
        <w:rPr>
          <w:rFonts w:cs="Arial"/>
          <w:szCs w:val="24"/>
          <w:lang w:val="en-US"/>
        </w:rPr>
      </w:pPr>
      <w:r>
        <w:rPr>
          <w:rFonts w:cs="Arial"/>
          <w:szCs w:val="24"/>
          <w:lang w:val="en-US"/>
        </w:rPr>
        <w:t xml:space="preserve">A further estimated budget pressure of £2m in 2020/21 </w:t>
      </w:r>
      <w:proofErr w:type="spellStart"/>
      <w:r>
        <w:rPr>
          <w:rFonts w:cs="Arial"/>
          <w:szCs w:val="24"/>
          <w:lang w:val="en-US"/>
        </w:rPr>
        <w:t>categorised</w:t>
      </w:r>
      <w:proofErr w:type="spellEnd"/>
      <w:r>
        <w:rPr>
          <w:rFonts w:cs="Arial"/>
          <w:szCs w:val="24"/>
          <w:lang w:val="en-US"/>
        </w:rPr>
        <w:t xml:space="preserve"> into 2 areas.  Firstly £700k of services which must be provided within current budget, the 3 key services being cleaning SLA (£305k</w:t>
      </w:r>
      <w:r w:rsidR="00E453EA">
        <w:rPr>
          <w:rFonts w:cs="Arial"/>
          <w:szCs w:val="24"/>
          <w:lang w:val="en-US"/>
        </w:rPr>
        <w:t>)</w:t>
      </w:r>
      <w:r>
        <w:rPr>
          <w:rFonts w:cs="Arial"/>
          <w:szCs w:val="24"/>
          <w:lang w:val="en-US"/>
        </w:rPr>
        <w:t>, trading standards (£222k) and catering (£80k). Secondly £1.3m of additional income which the directorate needs to achieve to meet targets alr</w:t>
      </w:r>
      <w:r w:rsidR="00AD0402">
        <w:rPr>
          <w:rFonts w:cs="Arial"/>
          <w:szCs w:val="24"/>
          <w:lang w:val="en-US"/>
        </w:rPr>
        <w:t>e</w:t>
      </w:r>
      <w:r>
        <w:rPr>
          <w:rFonts w:cs="Arial"/>
          <w:szCs w:val="24"/>
          <w:lang w:val="en-US"/>
        </w:rPr>
        <w:t xml:space="preserve">ady build into the MTFS. </w:t>
      </w:r>
      <w:r w:rsidR="00E453EA">
        <w:rPr>
          <w:rFonts w:cs="Arial"/>
          <w:szCs w:val="24"/>
          <w:lang w:val="en-US"/>
        </w:rPr>
        <w:t xml:space="preserve">The key areas within this £1.3m are the new depot (excluding the additional 2 floors) against which the current MTFS assumes £1.234m and £861k is </w:t>
      </w:r>
      <w:r w:rsidR="002B4991">
        <w:rPr>
          <w:rFonts w:cs="Arial"/>
          <w:szCs w:val="24"/>
          <w:lang w:val="en-US"/>
        </w:rPr>
        <w:t>being progressed</w:t>
      </w:r>
      <w:r w:rsidR="00E453EA">
        <w:rPr>
          <w:rFonts w:cs="Arial"/>
          <w:szCs w:val="24"/>
          <w:lang w:val="en-US"/>
        </w:rPr>
        <w:t xml:space="preserve">. The second key area is </w:t>
      </w:r>
      <w:r w:rsidR="002B4991">
        <w:rPr>
          <w:rFonts w:cs="Arial"/>
          <w:szCs w:val="24"/>
          <w:lang w:val="en-US"/>
        </w:rPr>
        <w:t xml:space="preserve">Schools </w:t>
      </w:r>
      <w:r w:rsidR="00E453EA">
        <w:rPr>
          <w:rFonts w:cs="Arial"/>
          <w:szCs w:val="24"/>
          <w:lang w:val="en-US"/>
        </w:rPr>
        <w:t>SLA income which is proving challenging against a back drop of a reduced take up of the services</w:t>
      </w:r>
      <w:r w:rsidR="00975ADB">
        <w:rPr>
          <w:rFonts w:cs="Arial"/>
          <w:szCs w:val="24"/>
          <w:lang w:val="en-US"/>
        </w:rPr>
        <w:t>.</w:t>
      </w:r>
    </w:p>
    <w:p w14:paraId="7248F430" w14:textId="77777777" w:rsidR="002A360B" w:rsidRDefault="002A360B" w:rsidP="00D644A2">
      <w:pPr>
        <w:pStyle w:val="ListParagraph"/>
        <w:ind w:left="1287"/>
        <w:jc w:val="both"/>
        <w:rPr>
          <w:rFonts w:cs="Arial"/>
          <w:szCs w:val="24"/>
          <w:lang w:val="en-US"/>
        </w:rPr>
      </w:pPr>
    </w:p>
    <w:p w14:paraId="5758D1EE" w14:textId="7A2EEE3B" w:rsidR="003B596E" w:rsidRPr="00D71E08" w:rsidRDefault="00E453EA" w:rsidP="008933D6">
      <w:pPr>
        <w:pStyle w:val="ListParagraph"/>
        <w:numPr>
          <w:ilvl w:val="0"/>
          <w:numId w:val="69"/>
        </w:numPr>
        <w:ind w:left="851" w:hanging="284"/>
        <w:jc w:val="both"/>
        <w:rPr>
          <w:rFonts w:cs="Arial"/>
          <w:szCs w:val="24"/>
          <w:lang w:val="en-US"/>
        </w:rPr>
      </w:pPr>
      <w:r>
        <w:rPr>
          <w:rFonts w:cs="Arial"/>
          <w:szCs w:val="24"/>
          <w:lang w:val="en-US"/>
        </w:rPr>
        <w:t xml:space="preserve">To </w:t>
      </w:r>
      <w:r w:rsidR="002B4991">
        <w:rPr>
          <w:rFonts w:cs="Arial"/>
          <w:szCs w:val="24"/>
          <w:lang w:val="en-US"/>
        </w:rPr>
        <w:t>progress</w:t>
      </w:r>
      <w:r>
        <w:rPr>
          <w:rFonts w:cs="Arial"/>
          <w:szCs w:val="24"/>
          <w:lang w:val="en-US"/>
        </w:rPr>
        <w:t xml:space="preserve"> the £2m</w:t>
      </w:r>
      <w:r w:rsidR="00AD0402">
        <w:rPr>
          <w:rFonts w:cs="Arial"/>
          <w:szCs w:val="24"/>
          <w:lang w:val="en-US"/>
        </w:rPr>
        <w:t xml:space="preserve">, </w:t>
      </w:r>
      <w:r>
        <w:rPr>
          <w:rFonts w:cs="Arial"/>
          <w:szCs w:val="24"/>
          <w:lang w:val="en-US"/>
        </w:rPr>
        <w:t xml:space="preserve"> the directorate has commenced a </w:t>
      </w:r>
      <w:proofErr w:type="spellStart"/>
      <w:r>
        <w:rPr>
          <w:rFonts w:cs="Arial"/>
          <w:szCs w:val="24"/>
          <w:lang w:val="en-US"/>
        </w:rPr>
        <w:t>programme</w:t>
      </w:r>
      <w:proofErr w:type="spellEnd"/>
      <w:r>
        <w:rPr>
          <w:rFonts w:cs="Arial"/>
          <w:szCs w:val="24"/>
          <w:lang w:val="en-US"/>
        </w:rPr>
        <w:t xml:space="preserve"> of budget reviews to baseline budgets, review future operating models to maximize growth and operational efficiency and </w:t>
      </w:r>
      <w:proofErr w:type="spellStart"/>
      <w:r>
        <w:rPr>
          <w:rFonts w:cs="Arial"/>
          <w:szCs w:val="24"/>
          <w:lang w:val="en-US"/>
        </w:rPr>
        <w:t>analyse</w:t>
      </w:r>
      <w:proofErr w:type="spellEnd"/>
      <w:r>
        <w:rPr>
          <w:rFonts w:cs="Arial"/>
          <w:szCs w:val="24"/>
          <w:lang w:val="en-US"/>
        </w:rPr>
        <w:t xml:space="preserve"> performance against income budgets. The directorate needs to ensure that any future service provisions are financially sustainable.  Growth has not been provided for in respect of the £2m. The directorate has a timeline of 2 years (2020/21 and 2021/22)</w:t>
      </w:r>
      <w:r w:rsidR="00AD0402">
        <w:rPr>
          <w:rFonts w:cs="Arial"/>
          <w:szCs w:val="24"/>
          <w:lang w:val="en-US"/>
        </w:rPr>
        <w:t xml:space="preserve"> </w:t>
      </w:r>
      <w:r>
        <w:rPr>
          <w:rFonts w:cs="Arial"/>
          <w:szCs w:val="24"/>
          <w:lang w:val="en-US"/>
        </w:rPr>
        <w:t xml:space="preserve">to meet the £2m on going pressures and the </w:t>
      </w:r>
      <w:proofErr w:type="spellStart"/>
      <w:r>
        <w:rPr>
          <w:rFonts w:cs="Arial"/>
          <w:szCs w:val="24"/>
          <w:lang w:val="en-US"/>
        </w:rPr>
        <w:t>Commercialisation</w:t>
      </w:r>
      <w:proofErr w:type="spellEnd"/>
      <w:r>
        <w:rPr>
          <w:rFonts w:cs="Arial"/>
          <w:szCs w:val="24"/>
          <w:lang w:val="en-US"/>
        </w:rPr>
        <w:t xml:space="preserve"> reserve will be used to support during this timeline.  </w:t>
      </w:r>
      <w:r w:rsidR="003B596E">
        <w:rPr>
          <w:rFonts w:cs="Arial"/>
          <w:szCs w:val="24"/>
          <w:lang w:val="en-US"/>
        </w:rPr>
        <w:t xml:space="preserve"> </w:t>
      </w:r>
    </w:p>
    <w:p w14:paraId="0CEC18FC" w14:textId="77777777" w:rsidR="00FC1655" w:rsidRDefault="00FC1655">
      <w:pPr>
        <w:ind w:firstLine="567"/>
        <w:jc w:val="both"/>
        <w:rPr>
          <w:rFonts w:cs="Arial"/>
          <w:szCs w:val="24"/>
          <w:u w:val="single"/>
        </w:rPr>
      </w:pPr>
    </w:p>
    <w:p w14:paraId="600EEFEF" w14:textId="2E222A1F" w:rsidR="00083283" w:rsidRPr="003D275F" w:rsidRDefault="00083283">
      <w:pPr>
        <w:ind w:firstLine="567"/>
        <w:jc w:val="both"/>
        <w:rPr>
          <w:rFonts w:cs="Arial"/>
          <w:szCs w:val="24"/>
          <w:lang w:val="en-US"/>
        </w:rPr>
      </w:pPr>
      <w:r>
        <w:rPr>
          <w:rFonts w:cs="Arial"/>
          <w:szCs w:val="24"/>
          <w:u w:val="single"/>
        </w:rPr>
        <w:t>R</w:t>
      </w:r>
      <w:r w:rsidRPr="007C0D59">
        <w:rPr>
          <w:rFonts w:cs="Arial"/>
          <w:szCs w:val="24"/>
          <w:u w:val="single"/>
        </w:rPr>
        <w:t xml:space="preserve">egeneration, Enterprise &amp; Planning </w:t>
      </w:r>
    </w:p>
    <w:p w14:paraId="3404B4BB" w14:textId="757148B2" w:rsidR="003D291D" w:rsidRPr="00825AC5" w:rsidRDefault="00083283">
      <w:pPr>
        <w:pStyle w:val="ListParagraph"/>
        <w:numPr>
          <w:ilvl w:val="0"/>
          <w:numId w:val="14"/>
        </w:numPr>
        <w:ind w:left="567" w:hanging="567"/>
        <w:jc w:val="both"/>
        <w:rPr>
          <w:rFonts w:cs="Arial"/>
          <w:szCs w:val="24"/>
          <w:lang w:val="en-US"/>
        </w:rPr>
      </w:pPr>
      <w:r w:rsidRPr="00083283">
        <w:rPr>
          <w:rFonts w:cs="Arial"/>
          <w:szCs w:val="24"/>
        </w:rPr>
        <w:t>Regeneration, Enterprise and Planning services forecast a break-even position</w:t>
      </w:r>
      <w:r w:rsidR="00703EAC">
        <w:rPr>
          <w:rFonts w:cs="Arial"/>
          <w:szCs w:val="24"/>
        </w:rPr>
        <w:t>.</w:t>
      </w:r>
      <w:r w:rsidR="000D6120" w:rsidRPr="000D6120">
        <w:t xml:space="preserve"> </w:t>
      </w:r>
      <w:r w:rsidR="000D6120" w:rsidRPr="000D6120">
        <w:rPr>
          <w:rFonts w:cs="Arial"/>
          <w:szCs w:val="24"/>
        </w:rPr>
        <w:t>The revenue costs of the Regeneration programme (£1.365m) are funded from the £1.7m capacity already set aside for 2019/20</w:t>
      </w:r>
      <w:r w:rsidR="00866A77">
        <w:rPr>
          <w:rFonts w:cs="Arial"/>
          <w:szCs w:val="24"/>
        </w:rPr>
        <w:t>.</w:t>
      </w:r>
    </w:p>
    <w:p w14:paraId="3B13A9AB" w14:textId="77777777" w:rsidR="00D82074" w:rsidRPr="009E4B36" w:rsidRDefault="00D82074">
      <w:pPr>
        <w:pStyle w:val="ListParagraph"/>
        <w:ind w:left="1134" w:hanging="567"/>
        <w:jc w:val="both"/>
        <w:rPr>
          <w:rFonts w:cs="Arial"/>
          <w:szCs w:val="24"/>
          <w:lang w:val="en-US"/>
        </w:rPr>
      </w:pPr>
    </w:p>
    <w:p w14:paraId="5EE2CEE6" w14:textId="1A7DFBB0" w:rsidR="00D7661F" w:rsidRPr="00825AC5" w:rsidRDefault="007C5B34" w:rsidP="00825AC5">
      <w:pPr>
        <w:ind w:left="567"/>
        <w:jc w:val="both"/>
        <w:rPr>
          <w:rFonts w:cs="Arial"/>
          <w:szCs w:val="24"/>
          <w:lang w:val="en-US"/>
        </w:rPr>
      </w:pPr>
      <w:r w:rsidRPr="00CB64A4">
        <w:rPr>
          <w:rFonts w:cs="Arial"/>
          <w:szCs w:val="24"/>
          <w:u w:val="single"/>
        </w:rPr>
        <w:t>Housing General Fund</w:t>
      </w:r>
    </w:p>
    <w:p w14:paraId="53087B4B" w14:textId="0D9C5177" w:rsidR="00411877" w:rsidRPr="00825AC5" w:rsidRDefault="00D7661F" w:rsidP="00825AC5">
      <w:pPr>
        <w:numPr>
          <w:ilvl w:val="0"/>
          <w:numId w:val="14"/>
        </w:numPr>
        <w:tabs>
          <w:tab w:val="left" w:pos="284"/>
        </w:tabs>
        <w:ind w:left="567" w:hanging="567"/>
        <w:jc w:val="both"/>
        <w:rPr>
          <w:rFonts w:cs="Arial"/>
          <w:szCs w:val="24"/>
          <w:lang w:val="en-US"/>
        </w:rPr>
      </w:pPr>
      <w:r w:rsidRPr="00CB64A4">
        <w:rPr>
          <w:rFonts w:cs="Arial"/>
          <w:szCs w:val="24"/>
        </w:rPr>
        <w:t>At Quarter 2, Housing services is forecasting a balanced position, in line with Q</w:t>
      </w:r>
      <w:r w:rsidR="006E1B96">
        <w:rPr>
          <w:rFonts w:cs="Arial"/>
          <w:szCs w:val="24"/>
        </w:rPr>
        <w:t xml:space="preserve">uarter </w:t>
      </w:r>
      <w:r w:rsidRPr="00CB64A4">
        <w:rPr>
          <w:rFonts w:cs="Arial"/>
          <w:szCs w:val="24"/>
        </w:rPr>
        <w:t>1, after realignment of budgets to better reflect expenditure profile requirements following the introduction of the Homelessness Reduction Act</w:t>
      </w:r>
      <w:r w:rsidR="007D7BF5" w:rsidRPr="00CB64A4">
        <w:rPr>
          <w:rFonts w:cs="Arial"/>
          <w:szCs w:val="24"/>
        </w:rPr>
        <w:t>.</w:t>
      </w:r>
      <w:r w:rsidRPr="00CB64A4">
        <w:rPr>
          <w:rFonts w:cs="Arial"/>
          <w:szCs w:val="24"/>
        </w:rPr>
        <w:t xml:space="preserve"> This results in no overall impact to the Council’s General Fund budget.</w:t>
      </w:r>
    </w:p>
    <w:p w14:paraId="432763D5" w14:textId="77777777" w:rsidR="00411877" w:rsidRDefault="00411877" w:rsidP="00825AC5">
      <w:pPr>
        <w:tabs>
          <w:tab w:val="left" w:pos="284"/>
        </w:tabs>
        <w:ind w:left="567"/>
        <w:jc w:val="both"/>
        <w:rPr>
          <w:rFonts w:cs="Arial"/>
          <w:szCs w:val="24"/>
          <w:lang w:val="en-US"/>
        </w:rPr>
      </w:pPr>
    </w:p>
    <w:p w14:paraId="0F9CEB56" w14:textId="77777777" w:rsidR="00C465C8" w:rsidRPr="00825AC5" w:rsidRDefault="00C465C8" w:rsidP="00825AC5">
      <w:pPr>
        <w:tabs>
          <w:tab w:val="left" w:pos="284"/>
        </w:tabs>
        <w:ind w:left="567"/>
        <w:jc w:val="both"/>
        <w:rPr>
          <w:rFonts w:cs="Arial"/>
          <w:szCs w:val="24"/>
          <w:lang w:val="en-US"/>
        </w:rPr>
      </w:pPr>
    </w:p>
    <w:p w14:paraId="56601667" w14:textId="002F3C53" w:rsidR="000026C3" w:rsidRPr="00825AC5" w:rsidRDefault="00A9429E" w:rsidP="00825AC5">
      <w:pPr>
        <w:ind w:left="567"/>
        <w:jc w:val="both"/>
        <w:rPr>
          <w:rFonts w:cs="Arial"/>
          <w:szCs w:val="24"/>
        </w:rPr>
      </w:pPr>
      <w:r>
        <w:rPr>
          <w:rFonts w:cs="Arial"/>
          <w:szCs w:val="24"/>
        </w:rPr>
        <w:tab/>
      </w:r>
      <w:r w:rsidR="00DD6920" w:rsidRPr="00A9429E">
        <w:rPr>
          <w:rFonts w:cs="Arial"/>
          <w:b/>
          <w:szCs w:val="24"/>
          <w:u w:val="single"/>
        </w:rPr>
        <w:t>P</w:t>
      </w:r>
      <w:r w:rsidR="00F3141F" w:rsidRPr="00A9429E">
        <w:rPr>
          <w:rFonts w:cs="Arial"/>
          <w:b/>
          <w:szCs w:val="24"/>
          <w:u w:val="single"/>
        </w:rPr>
        <w:t>EOPLE</w:t>
      </w:r>
      <w:r w:rsidR="002D4934" w:rsidRPr="00A9429E">
        <w:rPr>
          <w:rFonts w:cs="Arial"/>
          <w:b/>
          <w:szCs w:val="24"/>
          <w:u w:val="single"/>
        </w:rPr>
        <w:t xml:space="preserve"> SERVICES</w:t>
      </w:r>
    </w:p>
    <w:p w14:paraId="4669737F" w14:textId="5E165B51" w:rsidR="007F366A" w:rsidRPr="000026C3" w:rsidRDefault="000026C3" w:rsidP="00825AC5">
      <w:pPr>
        <w:ind w:left="567" w:hanging="567"/>
        <w:jc w:val="both"/>
        <w:rPr>
          <w:rFonts w:cs="Arial"/>
          <w:szCs w:val="24"/>
          <w:lang w:val="en-US"/>
        </w:rPr>
      </w:pPr>
      <w:r>
        <w:rPr>
          <w:rFonts w:cs="Arial"/>
          <w:szCs w:val="24"/>
        </w:rPr>
        <w:t>2.1</w:t>
      </w:r>
      <w:r w:rsidR="00820402">
        <w:rPr>
          <w:rFonts w:cs="Arial"/>
          <w:szCs w:val="24"/>
        </w:rPr>
        <w:t>6</w:t>
      </w:r>
      <w:r>
        <w:rPr>
          <w:rFonts w:cs="Arial"/>
          <w:szCs w:val="24"/>
        </w:rPr>
        <w:tab/>
      </w:r>
      <w:r w:rsidR="007C5B34" w:rsidRPr="000026C3">
        <w:rPr>
          <w:rFonts w:cs="Arial"/>
          <w:szCs w:val="24"/>
        </w:rPr>
        <w:t xml:space="preserve">At Quarter </w:t>
      </w:r>
      <w:r w:rsidR="00B40346" w:rsidRPr="000026C3">
        <w:rPr>
          <w:rFonts w:cs="Arial"/>
          <w:szCs w:val="24"/>
        </w:rPr>
        <w:t>2</w:t>
      </w:r>
      <w:r w:rsidR="007C5B34" w:rsidRPr="000026C3">
        <w:rPr>
          <w:rFonts w:cs="Arial"/>
          <w:szCs w:val="24"/>
        </w:rPr>
        <w:t xml:space="preserve">, </w:t>
      </w:r>
      <w:r w:rsidR="002D4934" w:rsidRPr="000026C3">
        <w:rPr>
          <w:rFonts w:cs="Arial"/>
          <w:szCs w:val="24"/>
        </w:rPr>
        <w:t>People Services</w:t>
      </w:r>
      <w:r w:rsidR="007C5B34" w:rsidRPr="000026C3">
        <w:rPr>
          <w:rFonts w:cs="Arial"/>
          <w:szCs w:val="24"/>
        </w:rPr>
        <w:t xml:space="preserve"> is forecast</w:t>
      </w:r>
      <w:r w:rsidR="00DF2339">
        <w:rPr>
          <w:rFonts w:cs="Arial"/>
          <w:szCs w:val="24"/>
        </w:rPr>
        <w:t>ing</w:t>
      </w:r>
      <w:r w:rsidR="007C5B34" w:rsidRPr="000026C3">
        <w:rPr>
          <w:rFonts w:cs="Arial"/>
          <w:szCs w:val="24"/>
        </w:rPr>
        <w:t xml:space="preserve"> to overspend by £</w:t>
      </w:r>
      <w:r w:rsidR="009F1366" w:rsidRPr="000026C3">
        <w:rPr>
          <w:rFonts w:cs="Arial"/>
          <w:szCs w:val="24"/>
        </w:rPr>
        <w:t>8</w:t>
      </w:r>
      <w:r w:rsidR="00B40346" w:rsidRPr="000026C3">
        <w:rPr>
          <w:rFonts w:cs="Arial"/>
          <w:szCs w:val="24"/>
        </w:rPr>
        <w:t>71</w:t>
      </w:r>
      <w:r w:rsidR="009F1366" w:rsidRPr="000026C3">
        <w:rPr>
          <w:rFonts w:cs="Arial"/>
          <w:szCs w:val="24"/>
        </w:rPr>
        <w:t>k</w:t>
      </w:r>
      <w:r w:rsidR="001C3C14" w:rsidRPr="000026C3">
        <w:rPr>
          <w:rFonts w:cs="Arial"/>
          <w:szCs w:val="24"/>
        </w:rPr>
        <w:t>. This is broadly in line with what was reported in Quarter 1.</w:t>
      </w:r>
    </w:p>
    <w:p w14:paraId="541E7228" w14:textId="77777777" w:rsidR="007F366A" w:rsidRDefault="007F366A" w:rsidP="00825AC5">
      <w:pPr>
        <w:pStyle w:val="ListParagraph"/>
        <w:jc w:val="both"/>
        <w:rPr>
          <w:rFonts w:cs="Arial"/>
          <w:szCs w:val="24"/>
        </w:rPr>
      </w:pPr>
    </w:p>
    <w:p w14:paraId="0F6EA4ED" w14:textId="03EBAD50" w:rsidR="005C42F2" w:rsidRDefault="00EB3E04" w:rsidP="00825AC5">
      <w:pPr>
        <w:pStyle w:val="ListParagraph"/>
        <w:ind w:left="567" w:right="4252"/>
        <w:jc w:val="both"/>
        <w:rPr>
          <w:rFonts w:cs="Arial"/>
          <w:b/>
          <w:szCs w:val="24"/>
          <w:u w:val="single"/>
        </w:rPr>
      </w:pPr>
      <w:r w:rsidRPr="007C0D59">
        <w:rPr>
          <w:rFonts w:cs="Arial"/>
          <w:b/>
          <w:szCs w:val="24"/>
          <w:u w:val="single"/>
        </w:rPr>
        <w:t xml:space="preserve">Table 4: </w:t>
      </w:r>
      <w:r w:rsidR="006739F8" w:rsidRPr="007C0D59">
        <w:rPr>
          <w:rFonts w:cs="Arial"/>
          <w:b/>
          <w:szCs w:val="24"/>
          <w:u w:val="single"/>
        </w:rPr>
        <w:t>People</w:t>
      </w:r>
      <w:r w:rsidR="002D4934" w:rsidRPr="007C0D59">
        <w:rPr>
          <w:rFonts w:cs="Arial"/>
          <w:b/>
          <w:szCs w:val="24"/>
          <w:u w:val="single"/>
        </w:rPr>
        <w:t xml:space="preserve"> </w:t>
      </w:r>
      <w:r w:rsidR="006226AE" w:rsidRPr="007C0D59">
        <w:rPr>
          <w:rFonts w:cs="Arial"/>
          <w:b/>
          <w:szCs w:val="24"/>
          <w:u w:val="single"/>
        </w:rPr>
        <w:t>Services Variance</w:t>
      </w:r>
      <w:r w:rsidR="005C42F2">
        <w:rPr>
          <w:rFonts w:cs="Arial"/>
          <w:b/>
          <w:szCs w:val="24"/>
          <w:u w:val="single"/>
        </w:rPr>
        <w:t xml:space="preserve">  </w:t>
      </w:r>
      <w:r w:rsidR="002564BA" w:rsidRPr="002564BA">
        <w:rPr>
          <w:noProof/>
          <w:lang w:eastAsia="en-GB"/>
        </w:rPr>
        <w:drawing>
          <wp:inline distT="0" distB="0" distL="0" distR="0" wp14:anchorId="6238FEA7" wp14:editId="35F73127">
            <wp:extent cx="5697415" cy="21218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6843" cy="2121664"/>
                    </a:xfrm>
                    <a:prstGeom prst="rect">
                      <a:avLst/>
                    </a:prstGeom>
                    <a:noFill/>
                    <a:ln>
                      <a:noFill/>
                    </a:ln>
                  </pic:spPr>
                </pic:pic>
              </a:graphicData>
            </a:graphic>
          </wp:inline>
        </w:drawing>
      </w:r>
    </w:p>
    <w:p w14:paraId="5A4132EC" w14:textId="0364819A" w:rsidR="00324298" w:rsidRDefault="00324298">
      <w:pPr>
        <w:spacing w:before="240"/>
        <w:ind w:firstLine="567"/>
        <w:jc w:val="both"/>
        <w:rPr>
          <w:rFonts w:cs="Arial"/>
          <w:b/>
          <w:szCs w:val="24"/>
          <w:u w:val="single"/>
        </w:rPr>
      </w:pPr>
    </w:p>
    <w:p w14:paraId="77257802" w14:textId="77777777" w:rsidR="00820402" w:rsidRPr="007C0D59" w:rsidRDefault="00820402">
      <w:pPr>
        <w:spacing w:before="240"/>
        <w:ind w:firstLine="567"/>
        <w:jc w:val="both"/>
        <w:rPr>
          <w:rFonts w:cs="Arial"/>
          <w:b/>
          <w:szCs w:val="24"/>
          <w:u w:val="single"/>
        </w:rPr>
      </w:pPr>
    </w:p>
    <w:p w14:paraId="6EBE8F31" w14:textId="6E980477" w:rsidR="000C2074" w:rsidRDefault="00B77CFB">
      <w:pPr>
        <w:ind w:firstLine="567"/>
        <w:jc w:val="both"/>
        <w:rPr>
          <w:rFonts w:cs="Arial"/>
          <w:szCs w:val="24"/>
          <w:u w:val="single"/>
        </w:rPr>
      </w:pPr>
      <w:r>
        <w:rPr>
          <w:rFonts w:cs="Arial"/>
          <w:szCs w:val="24"/>
          <w:u w:val="single"/>
        </w:rPr>
        <w:t>A</w:t>
      </w:r>
      <w:r w:rsidR="00F3141F" w:rsidRPr="007C0D59">
        <w:rPr>
          <w:rFonts w:cs="Arial"/>
          <w:szCs w:val="24"/>
          <w:u w:val="single"/>
        </w:rPr>
        <w:t>dult</w:t>
      </w:r>
      <w:r w:rsidR="000C2074" w:rsidRPr="007C0D59">
        <w:rPr>
          <w:rFonts w:cs="Arial"/>
          <w:szCs w:val="24"/>
          <w:u w:val="single"/>
        </w:rPr>
        <w:t>s</w:t>
      </w:r>
      <w:r w:rsidR="007C5B34" w:rsidRPr="007C0D59">
        <w:rPr>
          <w:rFonts w:cs="Arial"/>
          <w:szCs w:val="24"/>
          <w:u w:val="single"/>
        </w:rPr>
        <w:t xml:space="preserve"> </w:t>
      </w:r>
      <w:r w:rsidR="00F3141F" w:rsidRPr="007C0D59">
        <w:rPr>
          <w:rFonts w:cs="Arial"/>
          <w:szCs w:val="24"/>
          <w:u w:val="single"/>
        </w:rPr>
        <w:t>Services</w:t>
      </w:r>
    </w:p>
    <w:p w14:paraId="1E2DB859" w14:textId="56904CE5" w:rsidR="008C21B1" w:rsidRPr="00AD0402" w:rsidRDefault="00820402" w:rsidP="008933D6">
      <w:pPr>
        <w:spacing w:after="240"/>
        <w:ind w:left="567" w:hanging="567"/>
        <w:jc w:val="both"/>
      </w:pPr>
      <w:r>
        <w:rPr>
          <w:rFonts w:cs="Arial"/>
          <w:szCs w:val="24"/>
        </w:rPr>
        <w:t>2.17</w:t>
      </w:r>
      <w:r>
        <w:rPr>
          <w:rFonts w:cs="Arial"/>
          <w:szCs w:val="24"/>
        </w:rPr>
        <w:tab/>
      </w:r>
      <w:r w:rsidR="008C21B1">
        <w:rPr>
          <w:rFonts w:cs="Arial"/>
          <w:szCs w:val="24"/>
        </w:rPr>
        <w:t xml:space="preserve">At </w:t>
      </w:r>
      <w:r w:rsidR="00DA4780">
        <w:rPr>
          <w:rFonts w:cs="Arial"/>
          <w:szCs w:val="24"/>
        </w:rPr>
        <w:t>Q</w:t>
      </w:r>
      <w:r w:rsidR="008C21B1">
        <w:rPr>
          <w:rFonts w:cs="Arial"/>
          <w:szCs w:val="24"/>
        </w:rPr>
        <w:t xml:space="preserve">uarter </w:t>
      </w:r>
      <w:r w:rsidR="002D4886">
        <w:rPr>
          <w:rFonts w:cs="Arial"/>
          <w:szCs w:val="24"/>
        </w:rPr>
        <w:t>2</w:t>
      </w:r>
      <w:r w:rsidR="008C21B1">
        <w:rPr>
          <w:rFonts w:cs="Arial"/>
          <w:szCs w:val="24"/>
        </w:rPr>
        <w:t>, Adult services are reporting an over</w:t>
      </w:r>
      <w:r w:rsidR="00DA4780">
        <w:rPr>
          <w:rFonts w:cs="Arial"/>
          <w:szCs w:val="24"/>
        </w:rPr>
        <w:t xml:space="preserve"> </w:t>
      </w:r>
      <w:r w:rsidR="008C21B1">
        <w:rPr>
          <w:rFonts w:cs="Arial"/>
          <w:szCs w:val="24"/>
        </w:rPr>
        <w:t>spend of £</w:t>
      </w:r>
      <w:r w:rsidR="002D4886">
        <w:rPr>
          <w:rFonts w:cs="Arial"/>
          <w:szCs w:val="24"/>
        </w:rPr>
        <w:t>97</w:t>
      </w:r>
      <w:r w:rsidR="008C21B1">
        <w:rPr>
          <w:rFonts w:cs="Arial"/>
          <w:szCs w:val="24"/>
        </w:rPr>
        <w:t>k</w:t>
      </w:r>
      <w:r w:rsidR="002D4886">
        <w:rPr>
          <w:rFonts w:cs="Arial"/>
          <w:szCs w:val="24"/>
        </w:rPr>
        <w:t xml:space="preserve"> resulting in a reduction of </w:t>
      </w:r>
      <w:r w:rsidR="00E10B6E">
        <w:rPr>
          <w:rFonts w:cs="Arial"/>
          <w:szCs w:val="24"/>
        </w:rPr>
        <w:t>(</w:t>
      </w:r>
      <w:r w:rsidR="002D4886">
        <w:rPr>
          <w:rFonts w:cs="Arial"/>
          <w:szCs w:val="24"/>
        </w:rPr>
        <w:t>£76k</w:t>
      </w:r>
      <w:r w:rsidR="00E10B6E">
        <w:rPr>
          <w:rFonts w:cs="Arial"/>
          <w:szCs w:val="24"/>
        </w:rPr>
        <w:t>)</w:t>
      </w:r>
      <w:r w:rsidR="002D4886">
        <w:rPr>
          <w:rFonts w:cs="Arial"/>
          <w:szCs w:val="24"/>
        </w:rPr>
        <w:t xml:space="preserve"> from the previous quarter</w:t>
      </w:r>
      <w:r w:rsidR="009D5DEA">
        <w:rPr>
          <w:rFonts w:cs="Arial"/>
          <w:szCs w:val="24"/>
        </w:rPr>
        <w:t>. This is an indicative overspend on Adults transport which is subject to a whole systems review commissioned by the Corporate Director of Resources.</w:t>
      </w:r>
      <w:r w:rsidR="00AD0402">
        <w:rPr>
          <w:rFonts w:cs="Arial"/>
          <w:szCs w:val="24"/>
        </w:rPr>
        <w:t xml:space="preserve"> </w:t>
      </w:r>
      <w:r w:rsidR="00AD0402">
        <w:t xml:space="preserve">In 2019/20 £2.6m of additional funding was received for social care. As this funding was announced for 1 year only, it was not built into the budget and ear marked in an Adults Social Care reserve. With the exception of transport, Adults are forecasting a balanced budget position and this assumes a £1.3m draw down from the reserve. The balance of the reserve will be applied to the on going impact of these pressures into 2020/21. The  2020/21 draft budget, subject to  separate report on the agenda, explains the quantum and nature of the adult social care  pressures moving forward and how they reflected and funded over the draft MTFS. </w:t>
      </w:r>
    </w:p>
    <w:p w14:paraId="10661DD1" w14:textId="77777777" w:rsidR="008C21B1" w:rsidRDefault="008C21B1">
      <w:pPr>
        <w:pStyle w:val="ListParagraph"/>
        <w:ind w:left="831"/>
        <w:jc w:val="both"/>
        <w:rPr>
          <w:rFonts w:cs="Arial"/>
          <w:szCs w:val="24"/>
        </w:rPr>
      </w:pPr>
    </w:p>
    <w:p w14:paraId="213BED44" w14:textId="6956E5E0" w:rsidR="00993308" w:rsidRPr="00993308" w:rsidRDefault="00F3141F">
      <w:pPr>
        <w:ind w:left="567"/>
        <w:jc w:val="both"/>
        <w:rPr>
          <w:rFonts w:cs="Arial"/>
          <w:sz w:val="22"/>
          <w:szCs w:val="22"/>
        </w:rPr>
      </w:pPr>
      <w:r w:rsidRPr="007C0D59">
        <w:rPr>
          <w:rFonts w:cs="Arial"/>
          <w:szCs w:val="24"/>
          <w:u w:val="single"/>
        </w:rPr>
        <w:t>Public Health</w:t>
      </w:r>
    </w:p>
    <w:p w14:paraId="6D5A4453" w14:textId="4DDEAA27" w:rsidR="00190F7A" w:rsidRPr="00825AC5" w:rsidRDefault="00167F0A">
      <w:pPr>
        <w:pStyle w:val="ListParagraph"/>
        <w:numPr>
          <w:ilvl w:val="0"/>
          <w:numId w:val="61"/>
        </w:numPr>
        <w:ind w:left="567" w:hanging="567"/>
        <w:jc w:val="both"/>
        <w:rPr>
          <w:rFonts w:cs="Arial"/>
          <w:szCs w:val="24"/>
          <w:lang w:val="en-US"/>
        </w:rPr>
      </w:pPr>
      <w:r w:rsidRPr="00DF2339">
        <w:rPr>
          <w:rFonts w:cs="Arial"/>
          <w:szCs w:val="24"/>
        </w:rPr>
        <w:t>At Q</w:t>
      </w:r>
      <w:r w:rsidR="00BD3890" w:rsidRPr="00DF2339">
        <w:rPr>
          <w:rFonts w:cs="Arial"/>
          <w:szCs w:val="24"/>
        </w:rPr>
        <w:t xml:space="preserve">uarter </w:t>
      </w:r>
      <w:r w:rsidR="002D4886" w:rsidRPr="00DF2339">
        <w:rPr>
          <w:rFonts w:cs="Arial"/>
          <w:szCs w:val="24"/>
        </w:rPr>
        <w:t>2</w:t>
      </w:r>
      <w:r w:rsidR="00BD3890" w:rsidRPr="00DF2339">
        <w:rPr>
          <w:rFonts w:cs="Arial"/>
          <w:szCs w:val="24"/>
        </w:rPr>
        <w:t>,</w:t>
      </w:r>
      <w:r w:rsidR="00E27D27" w:rsidRPr="00DF2339">
        <w:rPr>
          <w:rFonts w:cs="Arial"/>
          <w:szCs w:val="24"/>
        </w:rPr>
        <w:t xml:space="preserve"> </w:t>
      </w:r>
      <w:r w:rsidR="002B3F28">
        <w:t>t</w:t>
      </w:r>
      <w:r w:rsidR="00E27D27" w:rsidRPr="00763A89">
        <w:t>he forecast in relation to expenditure on Public Health is expected to be balanced in 2019/20</w:t>
      </w:r>
      <w:r w:rsidR="00DF2339">
        <w:t xml:space="preserve"> as </w:t>
      </w:r>
      <w:r w:rsidR="000F6980">
        <w:t>reported in</w:t>
      </w:r>
      <w:r w:rsidR="00DF2339">
        <w:t xml:space="preserve"> Quarter 1. The Public Health Reserve is expected to be £92</w:t>
      </w:r>
      <w:r w:rsidR="009070EE">
        <w:t>5</w:t>
      </w:r>
      <w:r w:rsidR="00DF2339">
        <w:t>k at year end.</w:t>
      </w:r>
    </w:p>
    <w:p w14:paraId="2D28956A" w14:textId="77777777" w:rsidR="000026C3" w:rsidRPr="00825AC5" w:rsidRDefault="000026C3" w:rsidP="00825AC5">
      <w:pPr>
        <w:pStyle w:val="ListParagraph"/>
        <w:ind w:left="567"/>
        <w:jc w:val="both"/>
        <w:rPr>
          <w:rFonts w:cs="Arial"/>
          <w:szCs w:val="24"/>
          <w:lang w:val="en-US"/>
        </w:rPr>
      </w:pPr>
    </w:p>
    <w:p w14:paraId="131ABDB3" w14:textId="0F9088A1" w:rsidR="00190F7A" w:rsidRPr="00190F7A" w:rsidRDefault="00190F7A" w:rsidP="00825AC5">
      <w:pPr>
        <w:pStyle w:val="ListParagraph"/>
        <w:ind w:left="567"/>
        <w:jc w:val="both"/>
        <w:rPr>
          <w:rFonts w:cs="Arial"/>
          <w:szCs w:val="24"/>
          <w:lang w:val="en-US"/>
        </w:rPr>
      </w:pPr>
      <w:r w:rsidRPr="00825AC5">
        <w:rPr>
          <w:rFonts w:cs="Arial"/>
          <w:szCs w:val="24"/>
          <w:u w:val="single"/>
          <w:lang w:val="en-US"/>
        </w:rPr>
        <w:t>Children’s Services</w:t>
      </w:r>
    </w:p>
    <w:p w14:paraId="4600947A" w14:textId="2CE02A15" w:rsidR="00190F7A" w:rsidRPr="00825AC5" w:rsidRDefault="00190F7A" w:rsidP="00825AC5">
      <w:pPr>
        <w:pStyle w:val="ListParagraph"/>
        <w:numPr>
          <w:ilvl w:val="0"/>
          <w:numId w:val="61"/>
        </w:numPr>
        <w:ind w:left="567" w:hanging="567"/>
        <w:jc w:val="both"/>
        <w:rPr>
          <w:rFonts w:cs="Arial"/>
          <w:szCs w:val="24"/>
          <w:lang w:val="en-US"/>
        </w:rPr>
      </w:pPr>
      <w:r w:rsidRPr="00190F7A">
        <w:rPr>
          <w:rFonts w:cs="Arial"/>
          <w:szCs w:val="24"/>
        </w:rPr>
        <w:t>Children’s Services is forecasting an over spend of £774k</w:t>
      </w:r>
      <w:r>
        <w:rPr>
          <w:rFonts w:cs="Arial"/>
          <w:szCs w:val="24"/>
        </w:rPr>
        <w:t>.</w:t>
      </w:r>
    </w:p>
    <w:p w14:paraId="25C1E869" w14:textId="77777777" w:rsidR="00190F7A" w:rsidRPr="00825AC5" w:rsidRDefault="00190F7A" w:rsidP="00825AC5">
      <w:pPr>
        <w:pStyle w:val="ListParagraph"/>
        <w:ind w:left="567"/>
        <w:jc w:val="both"/>
        <w:rPr>
          <w:rFonts w:cs="Arial"/>
          <w:szCs w:val="24"/>
          <w:lang w:val="en-US"/>
        </w:rPr>
      </w:pPr>
    </w:p>
    <w:p w14:paraId="26E91C43" w14:textId="74D7CA33" w:rsidR="00190F7A" w:rsidRPr="00825AC5" w:rsidRDefault="00190F7A" w:rsidP="00825AC5">
      <w:pPr>
        <w:pStyle w:val="ListParagraph"/>
        <w:numPr>
          <w:ilvl w:val="0"/>
          <w:numId w:val="61"/>
        </w:numPr>
        <w:ind w:left="567" w:hanging="567"/>
        <w:jc w:val="both"/>
        <w:rPr>
          <w:rFonts w:cs="Arial"/>
          <w:szCs w:val="24"/>
          <w:lang w:val="en-US"/>
        </w:rPr>
      </w:pPr>
      <w:r w:rsidRPr="00190F7A">
        <w:rPr>
          <w:rFonts w:cs="Arial"/>
          <w:szCs w:val="24"/>
        </w:rPr>
        <w:t>This is an increase from Q</w:t>
      </w:r>
      <w:r w:rsidR="009E2D95">
        <w:rPr>
          <w:rFonts w:cs="Arial"/>
          <w:szCs w:val="24"/>
        </w:rPr>
        <w:t>uarter 1</w:t>
      </w:r>
      <w:r w:rsidRPr="00190F7A">
        <w:rPr>
          <w:rFonts w:cs="Arial"/>
          <w:szCs w:val="24"/>
        </w:rPr>
        <w:t xml:space="preserve"> of £85k which relates to revenue costs associated with relocating staff from Alexandra Avenue Health Centre to the Civic Centre. The headline pressure across the directorate is £2.512m with mitigating management actions of £1.5737m. It should be noted that £1.027m of these management actions are one off and will not be available in future years</w:t>
      </w:r>
      <w:r>
        <w:rPr>
          <w:rFonts w:cs="Arial"/>
          <w:szCs w:val="24"/>
        </w:rPr>
        <w:t>.</w:t>
      </w:r>
    </w:p>
    <w:p w14:paraId="796E5A5C" w14:textId="77777777" w:rsidR="00115A71" w:rsidRPr="00825AC5" w:rsidRDefault="00115A71" w:rsidP="00825AC5">
      <w:pPr>
        <w:pStyle w:val="ListParagraph"/>
        <w:rPr>
          <w:rFonts w:cs="Arial"/>
          <w:szCs w:val="24"/>
          <w:lang w:val="en-US"/>
        </w:rPr>
      </w:pPr>
    </w:p>
    <w:p w14:paraId="126CF7E2" w14:textId="6B41D82C" w:rsidR="00115A71" w:rsidRPr="00825AC5" w:rsidRDefault="00115A71" w:rsidP="00825AC5">
      <w:pPr>
        <w:pStyle w:val="ListParagraph"/>
        <w:numPr>
          <w:ilvl w:val="0"/>
          <w:numId w:val="61"/>
        </w:numPr>
        <w:ind w:left="567" w:hanging="567"/>
        <w:jc w:val="both"/>
        <w:rPr>
          <w:rFonts w:cs="Arial"/>
          <w:szCs w:val="24"/>
          <w:lang w:val="en-US"/>
        </w:rPr>
      </w:pPr>
      <w:r w:rsidRPr="00115A71">
        <w:rPr>
          <w:rFonts w:cs="Arial"/>
          <w:szCs w:val="24"/>
        </w:rPr>
        <w:t>In addition to the reported overspends there are pressures in relation to frontline social work staffing and associated costs for agency covering vacancies, sickness and maternity. There are also pressures on client related expenditure for supporting children to remain at home where it is safe to do so and in relation to facilitating supervised family contact. These pressures are being mitigated by one off management actions and flexible use of grant income</w:t>
      </w:r>
      <w:r>
        <w:rPr>
          <w:rFonts w:cs="Arial"/>
          <w:szCs w:val="24"/>
        </w:rPr>
        <w:t>.</w:t>
      </w:r>
    </w:p>
    <w:p w14:paraId="1A916FCC" w14:textId="77777777" w:rsidR="00241F3D" w:rsidRPr="00A00997" w:rsidRDefault="00241F3D" w:rsidP="00825AC5">
      <w:pPr>
        <w:pStyle w:val="ListParagraph"/>
        <w:jc w:val="both"/>
        <w:rPr>
          <w:rFonts w:cs="Arial"/>
          <w:szCs w:val="24"/>
          <w:lang w:val="en-US"/>
        </w:rPr>
      </w:pPr>
    </w:p>
    <w:p w14:paraId="155F81F7" w14:textId="153BEDF7" w:rsidR="00190F7A" w:rsidRPr="007C0D59" w:rsidRDefault="00190F7A" w:rsidP="00825AC5">
      <w:pPr>
        <w:pStyle w:val="ListParagraph"/>
        <w:numPr>
          <w:ilvl w:val="0"/>
          <w:numId w:val="61"/>
        </w:numPr>
        <w:ind w:left="567" w:hanging="567"/>
        <w:jc w:val="both"/>
        <w:rPr>
          <w:rFonts w:cs="Arial"/>
          <w:szCs w:val="24"/>
          <w:lang w:val="en-US"/>
        </w:rPr>
      </w:pPr>
      <w:r w:rsidRPr="00190F7A">
        <w:rPr>
          <w:rFonts w:cs="Arial"/>
          <w:szCs w:val="24"/>
        </w:rPr>
        <w:t>The overspend relates to</w:t>
      </w:r>
    </w:p>
    <w:p w14:paraId="1492D384" w14:textId="77777777" w:rsidR="00F3141F" w:rsidRDefault="00F3141F">
      <w:pPr>
        <w:jc w:val="both"/>
        <w:rPr>
          <w:rFonts w:cs="Arial"/>
          <w:szCs w:val="24"/>
          <w:u w:val="single"/>
        </w:rPr>
      </w:pPr>
    </w:p>
    <w:p w14:paraId="1D889EDF" w14:textId="766CE09C" w:rsidR="00AA0C0C" w:rsidRDefault="0084318C" w:rsidP="00825AC5">
      <w:pPr>
        <w:pStyle w:val="ListParagraph"/>
        <w:numPr>
          <w:ilvl w:val="0"/>
          <w:numId w:val="57"/>
        </w:numPr>
        <w:suppressAutoHyphens/>
        <w:ind w:left="851" w:hanging="284"/>
        <w:jc w:val="both"/>
        <w:rPr>
          <w:rFonts w:cs="Arial"/>
        </w:rPr>
      </w:pPr>
      <w:r>
        <w:rPr>
          <w:rFonts w:cs="Arial"/>
        </w:rPr>
        <w:t>SEN</w:t>
      </w:r>
      <w:r w:rsidR="00503B6C">
        <w:rPr>
          <w:rFonts w:cs="Arial"/>
        </w:rPr>
        <w:t xml:space="preserve"> Transport </w:t>
      </w:r>
      <w:r w:rsidR="006E1B96">
        <w:rPr>
          <w:rFonts w:cs="Arial"/>
        </w:rPr>
        <w:t>overspends</w:t>
      </w:r>
      <w:r w:rsidR="00503B6C">
        <w:rPr>
          <w:rFonts w:cs="Arial"/>
        </w:rPr>
        <w:t xml:space="preserve"> of £709k:</w:t>
      </w:r>
      <w:r>
        <w:rPr>
          <w:rFonts w:cs="Arial"/>
        </w:rPr>
        <w:t xml:space="preserve"> </w:t>
      </w:r>
      <w:r w:rsidR="00AA0C0C" w:rsidRPr="0042267F">
        <w:rPr>
          <w:rFonts w:cs="Arial"/>
        </w:rPr>
        <w:t>The projected overspend of £709K is mainly due to the anticipated increase in demand. Projections include costings for an additional 40 client’s at an average of £7k per client. The projections have further allowed for capacity for very high needs clients whose cost can be up to £20K per year. In addition there are agency costs to cover the shortfall in permanent driver and escort positions.</w:t>
      </w:r>
      <w:r w:rsidR="00AA0C0C">
        <w:rPr>
          <w:rFonts w:cs="Arial"/>
        </w:rPr>
        <w:t xml:space="preserve"> SEN Transport </w:t>
      </w:r>
      <w:r w:rsidR="00541FD9">
        <w:rPr>
          <w:rFonts w:cs="Arial"/>
        </w:rPr>
        <w:t>is</w:t>
      </w:r>
      <w:r w:rsidR="00AA0C0C">
        <w:rPr>
          <w:rFonts w:cs="Arial"/>
        </w:rPr>
        <w:t xml:space="preserve"> subject to a whole systems review commissioned by the Corporate Director </w:t>
      </w:r>
      <w:r w:rsidR="009D5DEA">
        <w:rPr>
          <w:rFonts w:cs="Arial"/>
        </w:rPr>
        <w:t xml:space="preserve">of </w:t>
      </w:r>
      <w:r w:rsidR="00AA0C0C">
        <w:rPr>
          <w:rFonts w:cs="Arial"/>
        </w:rPr>
        <w:t>Resources.</w:t>
      </w:r>
    </w:p>
    <w:p w14:paraId="1D43A0E3" w14:textId="77777777" w:rsidR="00AA0C0C" w:rsidRDefault="00AA0C0C" w:rsidP="00825AC5">
      <w:pPr>
        <w:pStyle w:val="ListParagraph"/>
        <w:suppressAutoHyphens/>
        <w:jc w:val="both"/>
        <w:rPr>
          <w:rFonts w:cs="Arial"/>
        </w:rPr>
      </w:pPr>
    </w:p>
    <w:p w14:paraId="3529A095" w14:textId="66A0FDF3" w:rsidR="00AA0C0C" w:rsidRDefault="0084318C" w:rsidP="00825AC5">
      <w:pPr>
        <w:pStyle w:val="ListParagraph"/>
        <w:numPr>
          <w:ilvl w:val="0"/>
          <w:numId w:val="35"/>
        </w:numPr>
        <w:ind w:left="851" w:hanging="284"/>
        <w:jc w:val="both"/>
        <w:rPr>
          <w:rFonts w:cs="Arial"/>
        </w:rPr>
      </w:pPr>
      <w:r w:rsidRPr="00D7661F">
        <w:rPr>
          <w:rFonts w:cs="Arial"/>
        </w:rPr>
        <w:t xml:space="preserve">Staff move from Alexandra </w:t>
      </w:r>
      <w:r w:rsidR="00503B6C">
        <w:rPr>
          <w:rFonts w:cs="Arial"/>
        </w:rPr>
        <w:t>Avenue to the Civic Centre £85k:</w:t>
      </w:r>
      <w:r>
        <w:rPr>
          <w:rFonts w:cs="Arial"/>
        </w:rPr>
        <w:t xml:space="preserve"> </w:t>
      </w:r>
      <w:r w:rsidR="00AA0C0C" w:rsidRPr="00D7661F">
        <w:rPr>
          <w:rFonts w:cs="Arial"/>
        </w:rPr>
        <w:t xml:space="preserve">These are costs for relocation and refurbishment of Civic 5/6 to allow staff from </w:t>
      </w:r>
      <w:r w:rsidR="00AA0C0C" w:rsidRPr="00D7661F">
        <w:rPr>
          <w:rFonts w:cs="Arial"/>
        </w:rPr>
        <w:lastRenderedPageBreak/>
        <w:t xml:space="preserve">Alexandra Avenue (SEN Service, Educational Psychology, Children &amp; Young Adults with Disabilities) and staff from CNWL to relocate to Alexandra Avenue. In the longer term there should be a saving from not paying rent (offset by increased running costs of Civic 5/6) but in the short term there will be costs associated with relocating staff and refurbishing the building. </w:t>
      </w:r>
    </w:p>
    <w:p w14:paraId="2C51F1F0" w14:textId="77777777" w:rsidR="00007064" w:rsidRDefault="00007064" w:rsidP="00825AC5">
      <w:pPr>
        <w:pStyle w:val="ListParagraph"/>
        <w:ind w:left="851"/>
        <w:jc w:val="both"/>
        <w:rPr>
          <w:rFonts w:cs="Arial"/>
        </w:rPr>
      </w:pPr>
    </w:p>
    <w:p w14:paraId="2F9C9555" w14:textId="51E2A8F1" w:rsidR="00007064" w:rsidRDefault="00007064" w:rsidP="00825AC5">
      <w:pPr>
        <w:pStyle w:val="ListParagraph"/>
        <w:numPr>
          <w:ilvl w:val="0"/>
          <w:numId w:val="35"/>
        </w:numPr>
        <w:ind w:left="851" w:hanging="284"/>
        <w:jc w:val="both"/>
        <w:rPr>
          <w:rFonts w:cs="Arial"/>
        </w:rPr>
      </w:pPr>
      <w:r>
        <w:rPr>
          <w:rFonts w:cs="Arial"/>
        </w:rPr>
        <w:t>The above is slightly mitigated by (£20k) underspend across the service.</w:t>
      </w:r>
    </w:p>
    <w:p w14:paraId="71B662E6" w14:textId="77777777" w:rsidR="00A81783" w:rsidRPr="00825AC5" w:rsidRDefault="00A81783" w:rsidP="00825AC5">
      <w:pPr>
        <w:pStyle w:val="ListParagraph"/>
        <w:rPr>
          <w:rFonts w:cs="Arial"/>
        </w:rPr>
      </w:pPr>
    </w:p>
    <w:p w14:paraId="4032A37A" w14:textId="77777777" w:rsidR="00A81783" w:rsidRPr="00825AC5" w:rsidRDefault="00A81783" w:rsidP="00825AC5">
      <w:pPr>
        <w:jc w:val="both"/>
        <w:rPr>
          <w:rFonts w:cs="Arial"/>
        </w:rPr>
      </w:pPr>
    </w:p>
    <w:p w14:paraId="5264AE89" w14:textId="539CE551" w:rsidR="00F3141F" w:rsidRPr="00221D9F" w:rsidRDefault="00F3141F" w:rsidP="00825AC5">
      <w:pPr>
        <w:ind w:left="567"/>
        <w:jc w:val="both"/>
        <w:rPr>
          <w:rFonts w:cs="Arial"/>
          <w:szCs w:val="24"/>
          <w:u w:val="single"/>
        </w:rPr>
      </w:pPr>
      <w:r w:rsidRPr="009E4B36">
        <w:rPr>
          <w:rFonts w:cs="Arial"/>
          <w:szCs w:val="24"/>
          <w:u w:val="single"/>
        </w:rPr>
        <w:t>Dedicated Schools Grant (DSG)</w:t>
      </w:r>
    </w:p>
    <w:p w14:paraId="7B88A6BE" w14:textId="45162E1D" w:rsidR="007C5B34" w:rsidRPr="003634DA" w:rsidRDefault="005D3E95" w:rsidP="00825AC5">
      <w:pPr>
        <w:pStyle w:val="ListParagraph"/>
        <w:numPr>
          <w:ilvl w:val="0"/>
          <w:numId w:val="61"/>
        </w:numPr>
        <w:ind w:left="567" w:hanging="567"/>
        <w:jc w:val="both"/>
        <w:rPr>
          <w:rFonts w:cs="Arial"/>
          <w:szCs w:val="24"/>
          <w:lang w:val="en-US"/>
        </w:rPr>
      </w:pPr>
      <w:r w:rsidRPr="007C0D59">
        <w:rPr>
          <w:rFonts w:cs="Arial"/>
          <w:szCs w:val="24"/>
        </w:rPr>
        <w:t>The Dedicated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central services, schools block, early years block and high needs block.</w:t>
      </w:r>
    </w:p>
    <w:p w14:paraId="22E31C41" w14:textId="77777777" w:rsidR="005D3E95" w:rsidRPr="003634DA" w:rsidRDefault="005D3E95">
      <w:pPr>
        <w:pStyle w:val="ListParagraph"/>
        <w:ind w:left="567"/>
        <w:jc w:val="both"/>
        <w:rPr>
          <w:rFonts w:cs="Arial"/>
          <w:szCs w:val="24"/>
          <w:lang w:val="en-US"/>
        </w:rPr>
      </w:pPr>
    </w:p>
    <w:p w14:paraId="759C5E58" w14:textId="4EDD16D2" w:rsidR="00574551" w:rsidRPr="00574551" w:rsidRDefault="00574551" w:rsidP="00825AC5">
      <w:pPr>
        <w:pStyle w:val="ListParagraph"/>
        <w:numPr>
          <w:ilvl w:val="0"/>
          <w:numId w:val="61"/>
        </w:numPr>
        <w:ind w:left="567" w:hanging="567"/>
        <w:jc w:val="both"/>
        <w:rPr>
          <w:rFonts w:cs="Arial"/>
        </w:rPr>
      </w:pPr>
      <w:r w:rsidRPr="00574551">
        <w:rPr>
          <w:rFonts w:cs="Arial"/>
        </w:rPr>
        <w:t xml:space="preserve">The total notified DSG budget for 2019-20 is £128.924m. In 2019-20 the </w:t>
      </w:r>
      <w:r w:rsidRPr="00825AC5">
        <w:rPr>
          <w:rFonts w:cs="Arial"/>
        </w:rPr>
        <w:t>LA has set a deficit budget on the High Needs Block of £3.3m.</w:t>
      </w:r>
      <w:r w:rsidRPr="00574551">
        <w:rPr>
          <w:rFonts w:cs="Arial"/>
        </w:rPr>
        <w:t xml:space="preserve"> There is a net projected overspend of £3.970m which is made up of an overspend on the High Needs Block of £4.097m partially offset by an underspend in the growth fund of £127k.</w:t>
      </w:r>
    </w:p>
    <w:p w14:paraId="7DBFAEC5" w14:textId="77777777" w:rsidR="005D3E95" w:rsidRPr="003634DA" w:rsidRDefault="005D3E95">
      <w:pPr>
        <w:pStyle w:val="ListParagraph"/>
        <w:ind w:left="567"/>
        <w:jc w:val="both"/>
        <w:rPr>
          <w:rFonts w:cs="Arial"/>
          <w:szCs w:val="24"/>
          <w:lang w:val="en-US"/>
        </w:rPr>
      </w:pPr>
    </w:p>
    <w:p w14:paraId="0D785631" w14:textId="33D1D976" w:rsidR="005D3E95" w:rsidRPr="003634DA" w:rsidRDefault="00F979D0" w:rsidP="00825AC5">
      <w:pPr>
        <w:pStyle w:val="ListParagraph"/>
        <w:numPr>
          <w:ilvl w:val="0"/>
          <w:numId w:val="61"/>
        </w:numPr>
        <w:ind w:left="567" w:hanging="567"/>
        <w:jc w:val="both"/>
        <w:rPr>
          <w:rFonts w:cs="Arial"/>
          <w:szCs w:val="24"/>
          <w:lang w:val="en-US"/>
        </w:rPr>
      </w:pPr>
      <w:r>
        <w:rPr>
          <w:rFonts w:cs="Arial"/>
          <w:szCs w:val="24"/>
        </w:rPr>
        <w:t>In 2019/</w:t>
      </w:r>
      <w:r w:rsidR="005D3E95" w:rsidRPr="0023702C">
        <w:rPr>
          <w:rFonts w:cs="Arial"/>
          <w:szCs w:val="24"/>
        </w:rPr>
        <w:t>20</w:t>
      </w:r>
      <w:r>
        <w:rPr>
          <w:rFonts w:cs="Arial"/>
          <w:szCs w:val="24"/>
        </w:rPr>
        <w:t>,</w:t>
      </w:r>
      <w:r w:rsidR="005D3E95" w:rsidRPr="0023702C">
        <w:rPr>
          <w:rFonts w:cs="Arial"/>
          <w:szCs w:val="24"/>
        </w:rPr>
        <w:t xml:space="preserve"> the High Needs Block budget has been calculated using the new High Needs National Funding Fo</w:t>
      </w:r>
      <w:r w:rsidR="005D3E95" w:rsidRPr="00CA0075">
        <w:rPr>
          <w:rFonts w:cs="Arial"/>
          <w:szCs w:val="24"/>
        </w:rPr>
        <w:t>rmula which has generated funding which is £2.9m lower than the actual budget allocated to High Needs in 2017</w:t>
      </w:r>
      <w:r w:rsidR="00F27D40">
        <w:rPr>
          <w:rFonts w:cs="Arial"/>
          <w:szCs w:val="24"/>
        </w:rPr>
        <w:t>/</w:t>
      </w:r>
      <w:r w:rsidR="005D3E95" w:rsidRPr="00CA0075">
        <w:rPr>
          <w:rFonts w:cs="Arial"/>
          <w:szCs w:val="24"/>
        </w:rPr>
        <w:t>18.</w:t>
      </w:r>
    </w:p>
    <w:p w14:paraId="254BDEB9" w14:textId="77777777" w:rsidR="00643710" w:rsidRPr="003634DA" w:rsidRDefault="00643710">
      <w:pPr>
        <w:pStyle w:val="ListParagraph"/>
        <w:ind w:left="567"/>
        <w:jc w:val="both"/>
        <w:rPr>
          <w:rFonts w:cs="Arial"/>
          <w:szCs w:val="24"/>
          <w:lang w:val="en-US"/>
        </w:rPr>
      </w:pPr>
    </w:p>
    <w:p w14:paraId="7EEBF20F" w14:textId="77777777" w:rsidR="00163BC6" w:rsidRDefault="00163BC6" w:rsidP="00825AC5">
      <w:pPr>
        <w:pStyle w:val="ListParagraph"/>
        <w:jc w:val="both"/>
        <w:rPr>
          <w:b/>
          <w:bCs/>
          <w:u w:val="single"/>
        </w:rPr>
      </w:pPr>
    </w:p>
    <w:p w14:paraId="0C41C999" w14:textId="56B6237D" w:rsidR="007C5B34" w:rsidRPr="00221D9F" w:rsidRDefault="00F3141F">
      <w:pPr>
        <w:ind w:firstLine="567"/>
        <w:jc w:val="both"/>
        <w:rPr>
          <w:rFonts w:cs="Arial"/>
          <w:b/>
          <w:bCs/>
          <w:szCs w:val="24"/>
          <w:u w:val="single"/>
        </w:rPr>
      </w:pPr>
      <w:r w:rsidRPr="00CA0075">
        <w:rPr>
          <w:rFonts w:cs="Arial"/>
          <w:b/>
          <w:bCs/>
          <w:szCs w:val="24"/>
          <w:u w:val="single"/>
        </w:rPr>
        <w:t xml:space="preserve">CORPORATE AND TECHNICAL </w:t>
      </w:r>
    </w:p>
    <w:p w14:paraId="134065E5" w14:textId="734B2C2F" w:rsidR="00C848AF" w:rsidRPr="002373CE" w:rsidRDefault="007C5B34">
      <w:pPr>
        <w:pStyle w:val="ListParagraph"/>
        <w:numPr>
          <w:ilvl w:val="0"/>
          <w:numId w:val="61"/>
        </w:numPr>
        <w:ind w:left="567" w:hanging="567"/>
        <w:jc w:val="both"/>
        <w:rPr>
          <w:rFonts w:cs="Arial"/>
          <w:szCs w:val="24"/>
          <w:lang w:val="en-US"/>
        </w:rPr>
      </w:pPr>
      <w:r w:rsidRPr="00221D9F">
        <w:rPr>
          <w:rFonts w:cs="Arial"/>
          <w:bCs/>
          <w:szCs w:val="24"/>
        </w:rPr>
        <w:t>At Quarter</w:t>
      </w:r>
      <w:r w:rsidR="0084318C">
        <w:rPr>
          <w:rFonts w:cs="Arial"/>
          <w:bCs/>
          <w:szCs w:val="24"/>
        </w:rPr>
        <w:t xml:space="preserve"> </w:t>
      </w:r>
      <w:r w:rsidR="008C4577">
        <w:rPr>
          <w:rFonts w:cs="Arial"/>
          <w:bCs/>
          <w:szCs w:val="24"/>
        </w:rPr>
        <w:t>2</w:t>
      </w:r>
      <w:r w:rsidRPr="007C0D59">
        <w:rPr>
          <w:rFonts w:cs="Arial"/>
          <w:bCs/>
          <w:szCs w:val="24"/>
        </w:rPr>
        <w:t xml:space="preserve">, the corporate and technical budget is reporting an overall underspend </w:t>
      </w:r>
      <w:r w:rsidRPr="000C154C">
        <w:rPr>
          <w:rFonts w:cs="Arial"/>
          <w:bCs/>
          <w:szCs w:val="24"/>
        </w:rPr>
        <w:t>of (£</w:t>
      </w:r>
      <w:r w:rsidR="00C848AF">
        <w:rPr>
          <w:rFonts w:cs="Arial"/>
          <w:bCs/>
          <w:szCs w:val="24"/>
        </w:rPr>
        <w:t>4.191</w:t>
      </w:r>
      <w:r w:rsidR="00EF402C" w:rsidRPr="000C154C">
        <w:rPr>
          <w:rFonts w:cs="Arial"/>
          <w:bCs/>
          <w:szCs w:val="24"/>
        </w:rPr>
        <w:t>m</w:t>
      </w:r>
      <w:r w:rsidRPr="000C154C">
        <w:rPr>
          <w:rFonts w:cs="Arial"/>
          <w:bCs/>
          <w:szCs w:val="24"/>
        </w:rPr>
        <w:t>)</w:t>
      </w:r>
      <w:r w:rsidR="008C4577" w:rsidRPr="000C154C">
        <w:rPr>
          <w:rFonts w:cs="Arial"/>
          <w:bCs/>
          <w:szCs w:val="24"/>
        </w:rPr>
        <w:t xml:space="preserve">, </w:t>
      </w:r>
      <w:r w:rsidR="005F326E" w:rsidRPr="000C154C">
        <w:rPr>
          <w:rFonts w:cs="Arial"/>
          <w:bCs/>
          <w:szCs w:val="24"/>
        </w:rPr>
        <w:t xml:space="preserve">this </w:t>
      </w:r>
      <w:r w:rsidR="00543AAE">
        <w:rPr>
          <w:rFonts w:cs="Arial"/>
          <w:bCs/>
          <w:szCs w:val="24"/>
        </w:rPr>
        <w:t>is</w:t>
      </w:r>
      <w:r w:rsidR="005F326E" w:rsidRPr="000C154C">
        <w:rPr>
          <w:rFonts w:cs="Arial"/>
          <w:bCs/>
          <w:szCs w:val="24"/>
        </w:rPr>
        <w:t xml:space="preserve"> an increase of (£</w:t>
      </w:r>
      <w:r w:rsidR="00C848AF">
        <w:rPr>
          <w:rFonts w:cs="Arial"/>
          <w:bCs/>
          <w:szCs w:val="24"/>
        </w:rPr>
        <w:t>2.106m)</w:t>
      </w:r>
      <w:r w:rsidR="000F6980">
        <w:rPr>
          <w:rFonts w:cs="Arial"/>
          <w:bCs/>
          <w:szCs w:val="24"/>
        </w:rPr>
        <w:t xml:space="preserve"> when compared to Quarter 1</w:t>
      </w:r>
      <w:r w:rsidR="00C848AF">
        <w:rPr>
          <w:rFonts w:cs="Arial"/>
          <w:bCs/>
          <w:szCs w:val="24"/>
        </w:rPr>
        <w:t>.</w:t>
      </w:r>
    </w:p>
    <w:p w14:paraId="52DFAB87" w14:textId="0B5B0781" w:rsidR="007C5B34" w:rsidRDefault="007C5B34" w:rsidP="00D644A2">
      <w:pPr>
        <w:pStyle w:val="ListParagraph"/>
        <w:tabs>
          <w:tab w:val="left" w:pos="1043"/>
        </w:tabs>
        <w:ind w:left="567"/>
        <w:jc w:val="both"/>
        <w:rPr>
          <w:rFonts w:cs="Arial"/>
          <w:szCs w:val="24"/>
        </w:rPr>
      </w:pPr>
      <w:r w:rsidRPr="007C0D59">
        <w:rPr>
          <w:rFonts w:cs="Arial"/>
          <w:szCs w:val="24"/>
        </w:rPr>
        <w:t xml:space="preserve"> </w:t>
      </w:r>
      <w:r w:rsidR="002A360B">
        <w:rPr>
          <w:rFonts w:cs="Arial"/>
          <w:szCs w:val="24"/>
        </w:rPr>
        <w:tab/>
      </w:r>
    </w:p>
    <w:p w14:paraId="3E3BA5FF" w14:textId="77777777" w:rsidR="002A360B" w:rsidRPr="007C0D59" w:rsidRDefault="002A360B" w:rsidP="00D644A2">
      <w:pPr>
        <w:pStyle w:val="ListParagraph"/>
        <w:tabs>
          <w:tab w:val="left" w:pos="1043"/>
        </w:tabs>
        <w:ind w:left="567"/>
        <w:jc w:val="both"/>
        <w:rPr>
          <w:rFonts w:cs="Arial"/>
          <w:szCs w:val="24"/>
          <w:lang w:val="en-US"/>
        </w:rPr>
      </w:pPr>
    </w:p>
    <w:p w14:paraId="118F5D15" w14:textId="31F880D4" w:rsidR="00F3141F" w:rsidRPr="009E4B36" w:rsidRDefault="00EB3E04">
      <w:pPr>
        <w:ind w:firstLine="567"/>
        <w:jc w:val="both"/>
        <w:rPr>
          <w:rFonts w:cs="Arial"/>
          <w:bCs/>
          <w:szCs w:val="24"/>
          <w:u w:val="single"/>
        </w:rPr>
      </w:pPr>
      <w:r w:rsidRPr="007C0D59">
        <w:rPr>
          <w:rFonts w:cs="Arial"/>
          <w:bCs/>
          <w:szCs w:val="24"/>
        </w:rPr>
        <w:t xml:space="preserve"> </w:t>
      </w:r>
      <w:r w:rsidR="00F3141F" w:rsidRPr="009E4B36">
        <w:rPr>
          <w:rFonts w:cs="Arial"/>
          <w:bCs/>
          <w:szCs w:val="24"/>
          <w:u w:val="single"/>
        </w:rPr>
        <w:t>Corporate Items</w:t>
      </w:r>
    </w:p>
    <w:p w14:paraId="3A7461EA" w14:textId="3F2F5948" w:rsidR="00A91C08" w:rsidRPr="00221D9F" w:rsidRDefault="0035555F" w:rsidP="00825AC5">
      <w:pPr>
        <w:pStyle w:val="ListParagraph"/>
        <w:numPr>
          <w:ilvl w:val="0"/>
          <w:numId w:val="61"/>
        </w:numPr>
        <w:ind w:left="567" w:hanging="567"/>
        <w:jc w:val="both"/>
        <w:rPr>
          <w:rFonts w:cs="Arial"/>
          <w:bCs/>
          <w:szCs w:val="24"/>
        </w:rPr>
      </w:pPr>
      <w:r w:rsidRPr="009E4B36">
        <w:rPr>
          <w:rFonts w:cs="Arial"/>
          <w:szCs w:val="24"/>
        </w:rPr>
        <w:t xml:space="preserve"> </w:t>
      </w:r>
      <w:r w:rsidR="00A91C08" w:rsidRPr="009E4B36">
        <w:rPr>
          <w:rFonts w:cs="Arial"/>
          <w:bCs/>
          <w:szCs w:val="24"/>
        </w:rPr>
        <w:t>A net underspend of (£34</w:t>
      </w:r>
      <w:r w:rsidR="005F326E">
        <w:rPr>
          <w:rFonts w:cs="Arial"/>
          <w:bCs/>
          <w:szCs w:val="24"/>
        </w:rPr>
        <w:t>7</w:t>
      </w:r>
      <w:r w:rsidR="00A91C08" w:rsidRPr="009E4B36">
        <w:rPr>
          <w:rFonts w:cs="Arial"/>
          <w:bCs/>
          <w:szCs w:val="24"/>
        </w:rPr>
        <w:t>k) is currently being forecast on the following  items</w:t>
      </w:r>
      <w:r w:rsidR="00EF402C">
        <w:rPr>
          <w:rFonts w:cs="Arial"/>
          <w:bCs/>
          <w:szCs w:val="24"/>
        </w:rPr>
        <w:t>:</w:t>
      </w:r>
    </w:p>
    <w:p w14:paraId="1DDD2C32" w14:textId="735C29FB" w:rsidR="00A91C08" w:rsidRPr="007C0D59" w:rsidRDefault="00A91C08">
      <w:pPr>
        <w:pStyle w:val="ListParagraph"/>
        <w:numPr>
          <w:ilvl w:val="0"/>
          <w:numId w:val="35"/>
        </w:numPr>
        <w:ind w:left="1418" w:hanging="284"/>
        <w:jc w:val="both"/>
        <w:rPr>
          <w:rFonts w:cs="Arial"/>
          <w:bCs/>
          <w:szCs w:val="24"/>
        </w:rPr>
      </w:pPr>
      <w:r w:rsidRPr="007C0D59">
        <w:rPr>
          <w:rFonts w:cs="Arial"/>
          <w:bCs/>
          <w:szCs w:val="24"/>
        </w:rPr>
        <w:t xml:space="preserve"> Pension augmentation </w:t>
      </w:r>
      <w:r w:rsidR="00EF402C">
        <w:rPr>
          <w:rFonts w:cs="Arial"/>
          <w:bCs/>
          <w:szCs w:val="24"/>
        </w:rPr>
        <w:t>costs</w:t>
      </w:r>
    </w:p>
    <w:p w14:paraId="48F53A01" w14:textId="090C1F70" w:rsidR="00A91C08" w:rsidRPr="007C0D59" w:rsidRDefault="00A91C08">
      <w:pPr>
        <w:pStyle w:val="ListParagraph"/>
        <w:numPr>
          <w:ilvl w:val="0"/>
          <w:numId w:val="35"/>
        </w:numPr>
        <w:ind w:left="1418" w:hanging="284"/>
        <w:jc w:val="both"/>
        <w:rPr>
          <w:rFonts w:cs="Arial"/>
          <w:bCs/>
          <w:szCs w:val="24"/>
        </w:rPr>
      </w:pPr>
      <w:r w:rsidRPr="007C0D59">
        <w:rPr>
          <w:rFonts w:cs="Arial"/>
          <w:bCs/>
          <w:szCs w:val="24"/>
        </w:rPr>
        <w:t xml:space="preserve"> External audit </w:t>
      </w:r>
      <w:r w:rsidR="00021610">
        <w:rPr>
          <w:rFonts w:cs="Arial"/>
          <w:bCs/>
          <w:szCs w:val="24"/>
        </w:rPr>
        <w:t>fees</w:t>
      </w:r>
    </w:p>
    <w:p w14:paraId="43F29C2F" w14:textId="7C64709F" w:rsidR="0035555F" w:rsidRPr="007C0D59" w:rsidRDefault="00A91C08">
      <w:pPr>
        <w:pStyle w:val="ListParagraph"/>
        <w:numPr>
          <w:ilvl w:val="0"/>
          <w:numId w:val="35"/>
        </w:numPr>
        <w:tabs>
          <w:tab w:val="left" w:pos="1276"/>
        </w:tabs>
        <w:ind w:left="709" w:firstLine="425"/>
        <w:jc w:val="both"/>
        <w:rPr>
          <w:rFonts w:cs="Arial"/>
          <w:szCs w:val="24"/>
          <w:lang w:val="en-US"/>
        </w:rPr>
      </w:pPr>
      <w:r w:rsidRPr="007C0D59">
        <w:rPr>
          <w:rFonts w:cs="Arial"/>
          <w:bCs/>
          <w:szCs w:val="24"/>
        </w:rPr>
        <w:t xml:space="preserve">   Levies and subscription</w:t>
      </w:r>
      <w:r w:rsidR="00021610">
        <w:rPr>
          <w:rFonts w:cs="Arial"/>
          <w:bCs/>
          <w:szCs w:val="24"/>
        </w:rPr>
        <w:t>s</w:t>
      </w:r>
    </w:p>
    <w:p w14:paraId="4D5EA1B2" w14:textId="77777777" w:rsidR="00F3141F" w:rsidRPr="007C0D59" w:rsidRDefault="00F3141F">
      <w:pPr>
        <w:jc w:val="both"/>
        <w:rPr>
          <w:rFonts w:cs="Arial"/>
          <w:szCs w:val="24"/>
          <w:u w:val="single"/>
        </w:rPr>
      </w:pPr>
    </w:p>
    <w:p w14:paraId="426E15B6" w14:textId="06A4BB44" w:rsidR="00F3141F" w:rsidRPr="009E4B36" w:rsidRDefault="000C0031">
      <w:pPr>
        <w:jc w:val="both"/>
        <w:rPr>
          <w:rFonts w:cs="Arial"/>
          <w:bCs/>
          <w:szCs w:val="24"/>
          <w:u w:val="single"/>
        </w:rPr>
      </w:pPr>
      <w:bookmarkStart w:id="0" w:name="_Toc372706224"/>
      <w:r w:rsidRPr="003634DA">
        <w:rPr>
          <w:rFonts w:cs="Arial"/>
          <w:bCs/>
          <w:szCs w:val="24"/>
        </w:rPr>
        <w:t xml:space="preserve">         </w:t>
      </w:r>
      <w:r w:rsidR="00F3141F" w:rsidRPr="00CA0075">
        <w:rPr>
          <w:rFonts w:cs="Arial"/>
          <w:bCs/>
          <w:szCs w:val="24"/>
          <w:u w:val="single"/>
        </w:rPr>
        <w:t>Central Contingency</w:t>
      </w:r>
      <w:bookmarkEnd w:id="0"/>
    </w:p>
    <w:p w14:paraId="31C37413" w14:textId="77777777" w:rsidR="00EF402C" w:rsidRPr="00D644A2" w:rsidRDefault="00A91C08" w:rsidP="00825AC5">
      <w:pPr>
        <w:pStyle w:val="ListParagraph"/>
        <w:numPr>
          <w:ilvl w:val="0"/>
          <w:numId w:val="61"/>
        </w:numPr>
        <w:ind w:left="567" w:hanging="567"/>
        <w:jc w:val="both"/>
        <w:rPr>
          <w:rFonts w:cs="Arial"/>
          <w:szCs w:val="24"/>
          <w:lang w:val="en-US"/>
        </w:rPr>
      </w:pPr>
      <w:r w:rsidRPr="0023702C">
        <w:rPr>
          <w:rFonts w:cs="Arial"/>
          <w:bCs/>
          <w:szCs w:val="24"/>
        </w:rPr>
        <w:t>The Central Contingency for unforeseen</w:t>
      </w:r>
      <w:r w:rsidR="00EF32D2">
        <w:rPr>
          <w:rFonts w:cs="Arial"/>
          <w:bCs/>
          <w:szCs w:val="24"/>
        </w:rPr>
        <w:t xml:space="preserve"> items in 2019/20 is (£1.248m) and is being applied to meet in-year forecast pressure</w:t>
      </w:r>
      <w:r w:rsidR="00EF402C">
        <w:rPr>
          <w:rFonts w:cs="Arial"/>
          <w:bCs/>
          <w:szCs w:val="24"/>
        </w:rPr>
        <w:t>s.</w:t>
      </w:r>
    </w:p>
    <w:p w14:paraId="115C0214" w14:textId="77777777" w:rsidR="002A360B" w:rsidRPr="00825AC5" w:rsidRDefault="002A360B" w:rsidP="00D644A2">
      <w:pPr>
        <w:pStyle w:val="ListParagraph"/>
        <w:ind w:left="567"/>
        <w:jc w:val="both"/>
        <w:rPr>
          <w:rFonts w:cs="Arial"/>
          <w:szCs w:val="24"/>
          <w:lang w:val="en-US"/>
        </w:rPr>
      </w:pPr>
    </w:p>
    <w:p w14:paraId="562B4800" w14:textId="77777777" w:rsidR="00A459E1" w:rsidRPr="00A459E1" w:rsidRDefault="00A459E1" w:rsidP="00825AC5">
      <w:pPr>
        <w:pStyle w:val="ListParagraph"/>
        <w:ind w:left="567"/>
        <w:jc w:val="both"/>
        <w:rPr>
          <w:rFonts w:cs="Arial"/>
          <w:szCs w:val="24"/>
          <w:u w:val="single"/>
          <w:lang w:val="en-US"/>
        </w:rPr>
      </w:pPr>
      <w:r w:rsidRPr="00A459E1">
        <w:rPr>
          <w:rFonts w:cs="Arial"/>
          <w:szCs w:val="24"/>
          <w:u w:val="single"/>
          <w:lang w:val="en-US"/>
        </w:rPr>
        <w:t>Technical and Corporate Adjustments</w:t>
      </w:r>
    </w:p>
    <w:p w14:paraId="5DAF1D2A" w14:textId="78730C7F" w:rsidR="00A459E1" w:rsidRPr="00A71395" w:rsidRDefault="00A459E1" w:rsidP="00825AC5">
      <w:pPr>
        <w:pStyle w:val="ListParagraph"/>
        <w:numPr>
          <w:ilvl w:val="0"/>
          <w:numId w:val="61"/>
        </w:numPr>
        <w:ind w:left="567" w:hanging="567"/>
        <w:jc w:val="both"/>
        <w:rPr>
          <w:rFonts w:cs="Arial"/>
          <w:szCs w:val="24"/>
          <w:lang w:val="en-US"/>
        </w:rPr>
      </w:pPr>
      <w:r w:rsidRPr="000B5467">
        <w:rPr>
          <w:rFonts w:cs="Arial"/>
          <w:bCs/>
          <w:szCs w:val="24"/>
        </w:rPr>
        <w:t>A net underspend of (£</w:t>
      </w:r>
      <w:r w:rsidR="00C848AF">
        <w:rPr>
          <w:rFonts w:cs="Arial"/>
          <w:bCs/>
          <w:szCs w:val="24"/>
        </w:rPr>
        <w:t>2.307</w:t>
      </w:r>
      <w:r w:rsidRPr="000B5467">
        <w:rPr>
          <w:rFonts w:cs="Arial"/>
          <w:bCs/>
          <w:szCs w:val="24"/>
        </w:rPr>
        <w:t xml:space="preserve">m) is forecast which is largely savings against capital financing charges due to </w:t>
      </w:r>
      <w:r w:rsidR="00115A71">
        <w:rPr>
          <w:rFonts w:cs="Arial"/>
          <w:bCs/>
          <w:szCs w:val="24"/>
        </w:rPr>
        <w:t xml:space="preserve">a forecast reduced spend against the Capital </w:t>
      </w:r>
      <w:r w:rsidR="00115A71">
        <w:rPr>
          <w:rFonts w:cs="Arial"/>
          <w:bCs/>
          <w:szCs w:val="24"/>
        </w:rPr>
        <w:lastRenderedPageBreak/>
        <w:t>Programme and securing in-year borrowing requirement from PWLB at a rate lower than budgeted</w:t>
      </w:r>
      <w:r w:rsidR="00B40888">
        <w:rPr>
          <w:rFonts w:cs="Arial"/>
          <w:bCs/>
          <w:szCs w:val="24"/>
        </w:rPr>
        <w:t xml:space="preserve"> and the balance of unused MRP as at Q</w:t>
      </w:r>
      <w:r w:rsidR="000F6980">
        <w:rPr>
          <w:rFonts w:cs="Arial"/>
          <w:bCs/>
          <w:szCs w:val="24"/>
        </w:rPr>
        <w:t>uarter</w:t>
      </w:r>
      <w:r w:rsidR="00B40888">
        <w:rPr>
          <w:rFonts w:cs="Arial"/>
          <w:bCs/>
          <w:szCs w:val="24"/>
        </w:rPr>
        <w:t xml:space="preserve"> 2. </w:t>
      </w:r>
      <w:r w:rsidRPr="000B5467">
        <w:rPr>
          <w:rFonts w:cs="Arial"/>
          <w:bCs/>
          <w:szCs w:val="24"/>
        </w:rPr>
        <w:t xml:space="preserve"> This</w:t>
      </w:r>
      <w:r w:rsidRPr="00A459E1">
        <w:rPr>
          <w:rFonts w:cs="Arial"/>
          <w:bCs/>
          <w:szCs w:val="24"/>
        </w:rPr>
        <w:t xml:space="preserve"> underspend represents a net favourable movement of (£</w:t>
      </w:r>
      <w:r w:rsidR="00B40888">
        <w:rPr>
          <w:rFonts w:cs="Arial"/>
          <w:bCs/>
          <w:szCs w:val="24"/>
        </w:rPr>
        <w:t>1.604m</w:t>
      </w:r>
      <w:r w:rsidRPr="00A459E1">
        <w:rPr>
          <w:rFonts w:cs="Arial"/>
          <w:bCs/>
          <w:szCs w:val="24"/>
        </w:rPr>
        <w:t>) when compared to Quarter 1, this is mainly due to the deferring of borrowing in 2019/20 to Q</w:t>
      </w:r>
      <w:r w:rsidR="00396290">
        <w:rPr>
          <w:rFonts w:cs="Arial"/>
          <w:bCs/>
          <w:szCs w:val="24"/>
        </w:rPr>
        <w:t xml:space="preserve">uarter </w:t>
      </w:r>
      <w:r w:rsidRPr="00A459E1">
        <w:rPr>
          <w:rFonts w:cs="Arial"/>
          <w:bCs/>
          <w:szCs w:val="24"/>
        </w:rPr>
        <w:t>4</w:t>
      </w:r>
      <w:r w:rsidR="006341A2">
        <w:rPr>
          <w:rFonts w:cs="Arial"/>
          <w:bCs/>
          <w:szCs w:val="24"/>
        </w:rPr>
        <w:t xml:space="preserve"> </w:t>
      </w:r>
      <w:r w:rsidR="006341A2" w:rsidRPr="006341A2">
        <w:rPr>
          <w:rFonts w:cs="Arial"/>
          <w:bCs/>
          <w:szCs w:val="24"/>
        </w:rPr>
        <w:t xml:space="preserve">and the reduction in forecast against </w:t>
      </w:r>
      <w:r w:rsidR="000F6980" w:rsidRPr="006341A2">
        <w:rPr>
          <w:rFonts w:cs="Arial"/>
          <w:bCs/>
          <w:szCs w:val="24"/>
        </w:rPr>
        <w:t>Capital</w:t>
      </w:r>
      <w:r w:rsidR="006341A2" w:rsidRPr="006341A2">
        <w:rPr>
          <w:rFonts w:cs="Arial"/>
          <w:bCs/>
          <w:szCs w:val="24"/>
        </w:rPr>
        <w:t xml:space="preserve"> Programme from 88% in Quarter 1 to 44% in Quarter 2 which in turn </w:t>
      </w:r>
      <w:r w:rsidR="000F6980" w:rsidRPr="006341A2">
        <w:rPr>
          <w:rFonts w:cs="Arial"/>
          <w:bCs/>
          <w:szCs w:val="24"/>
        </w:rPr>
        <w:t>reduced</w:t>
      </w:r>
      <w:r w:rsidR="006341A2" w:rsidRPr="006341A2">
        <w:rPr>
          <w:rFonts w:cs="Arial"/>
          <w:bCs/>
          <w:szCs w:val="24"/>
        </w:rPr>
        <w:t xml:space="preserve"> the borrowing from £2.1m to £1.44m</w:t>
      </w:r>
      <w:r w:rsidR="00B40888">
        <w:rPr>
          <w:rFonts w:cs="Arial"/>
          <w:bCs/>
          <w:szCs w:val="24"/>
        </w:rPr>
        <w:t xml:space="preserve"> and the unused</w:t>
      </w:r>
      <w:r w:rsidR="000F6980">
        <w:rPr>
          <w:rFonts w:cs="Arial"/>
          <w:bCs/>
          <w:szCs w:val="24"/>
        </w:rPr>
        <w:t xml:space="preserve"> balance on MRP at Quarter 1</w:t>
      </w:r>
      <w:r w:rsidR="00866A77">
        <w:rPr>
          <w:rFonts w:cs="Arial"/>
          <w:bCs/>
          <w:szCs w:val="24"/>
        </w:rPr>
        <w:t>.</w:t>
      </w:r>
    </w:p>
    <w:p w14:paraId="5C7A3F0B" w14:textId="77777777" w:rsidR="0008246E" w:rsidRDefault="0008246E">
      <w:pPr>
        <w:ind w:left="567"/>
        <w:jc w:val="both"/>
        <w:rPr>
          <w:rFonts w:cs="Arial"/>
          <w:szCs w:val="24"/>
          <w:lang w:val="en-US"/>
        </w:rPr>
      </w:pPr>
    </w:p>
    <w:p w14:paraId="7E21955F" w14:textId="056752A5" w:rsidR="00F3141F" w:rsidRPr="007C0D59" w:rsidRDefault="00FA1F70">
      <w:pPr>
        <w:jc w:val="both"/>
        <w:rPr>
          <w:rFonts w:cs="Arial"/>
          <w:bCs/>
          <w:szCs w:val="24"/>
          <w:u w:val="single"/>
        </w:rPr>
      </w:pPr>
      <w:r w:rsidRPr="00DE67B7">
        <w:rPr>
          <w:rFonts w:cs="Arial"/>
          <w:szCs w:val="24"/>
          <w:lang w:val="en-US"/>
        </w:rPr>
        <w:t xml:space="preserve">  </w:t>
      </w:r>
      <w:r w:rsidR="000C0031" w:rsidRPr="003634DA">
        <w:rPr>
          <w:rFonts w:cs="Arial"/>
          <w:bCs/>
          <w:szCs w:val="24"/>
        </w:rPr>
        <w:t xml:space="preserve">       </w:t>
      </w:r>
      <w:r w:rsidR="00F3141F" w:rsidRPr="007C0D59">
        <w:rPr>
          <w:rFonts w:cs="Arial"/>
          <w:bCs/>
          <w:szCs w:val="24"/>
          <w:u w:val="single"/>
        </w:rPr>
        <w:t>Capital Flexibility</w:t>
      </w:r>
    </w:p>
    <w:p w14:paraId="696C6A4D" w14:textId="77F1859A" w:rsidR="0035555F" w:rsidRPr="00D644A2" w:rsidRDefault="008D6269" w:rsidP="00825AC5">
      <w:pPr>
        <w:pStyle w:val="ListParagraph"/>
        <w:numPr>
          <w:ilvl w:val="0"/>
          <w:numId w:val="61"/>
        </w:numPr>
        <w:ind w:left="567" w:hanging="567"/>
        <w:jc w:val="both"/>
        <w:rPr>
          <w:rFonts w:cs="Arial"/>
          <w:szCs w:val="24"/>
          <w:lang w:val="en-US"/>
        </w:rPr>
      </w:pPr>
      <w:r w:rsidRPr="007C0D59">
        <w:rPr>
          <w:rFonts w:cs="Arial"/>
          <w:bCs/>
          <w:szCs w:val="24"/>
        </w:rPr>
        <w:t>The 2019/20 budget assumes £3.1m of capital flexibilities usi</w:t>
      </w:r>
      <w:r w:rsidR="00381586">
        <w:rPr>
          <w:rFonts w:cs="Arial"/>
          <w:bCs/>
          <w:szCs w:val="24"/>
        </w:rPr>
        <w:t>ng capital receipts</w:t>
      </w:r>
      <w:r w:rsidR="00C848AF">
        <w:rPr>
          <w:rFonts w:cs="Arial"/>
          <w:bCs/>
          <w:szCs w:val="24"/>
        </w:rPr>
        <w:t>,</w:t>
      </w:r>
      <w:r w:rsidR="00381586">
        <w:rPr>
          <w:rFonts w:cs="Arial"/>
          <w:bCs/>
          <w:szCs w:val="24"/>
        </w:rPr>
        <w:t xml:space="preserve"> At Quarter </w:t>
      </w:r>
      <w:r w:rsidR="000F6980">
        <w:rPr>
          <w:rFonts w:cs="Arial"/>
          <w:bCs/>
          <w:szCs w:val="24"/>
        </w:rPr>
        <w:t>2</w:t>
      </w:r>
      <w:r w:rsidR="000F6980" w:rsidRPr="007C0D59">
        <w:rPr>
          <w:rFonts w:cs="Arial"/>
          <w:bCs/>
          <w:szCs w:val="24"/>
        </w:rPr>
        <w:t>;</w:t>
      </w:r>
      <w:r w:rsidRPr="007C0D59">
        <w:rPr>
          <w:rFonts w:cs="Arial"/>
          <w:bCs/>
          <w:szCs w:val="24"/>
        </w:rPr>
        <w:t xml:space="preserve"> </w:t>
      </w:r>
      <w:r w:rsidR="00C848AF">
        <w:rPr>
          <w:rFonts w:cs="Arial"/>
          <w:bCs/>
          <w:szCs w:val="24"/>
        </w:rPr>
        <w:t>it is assumed</w:t>
      </w:r>
      <w:r w:rsidR="00B40888">
        <w:rPr>
          <w:rFonts w:cs="Arial"/>
          <w:bCs/>
          <w:szCs w:val="24"/>
        </w:rPr>
        <w:t xml:space="preserve"> that the</w:t>
      </w:r>
      <w:r w:rsidR="00C848AF">
        <w:rPr>
          <w:rFonts w:cs="Arial"/>
          <w:bCs/>
          <w:szCs w:val="24"/>
        </w:rPr>
        <w:t xml:space="preserve"> £3.1m will be </w:t>
      </w:r>
      <w:r w:rsidR="00B40888">
        <w:rPr>
          <w:rFonts w:cs="Arial"/>
          <w:bCs/>
          <w:szCs w:val="24"/>
        </w:rPr>
        <w:t xml:space="preserve">fully </w:t>
      </w:r>
      <w:r w:rsidR="00C848AF">
        <w:rPr>
          <w:rFonts w:cs="Arial"/>
          <w:bCs/>
          <w:szCs w:val="24"/>
        </w:rPr>
        <w:t>applied</w:t>
      </w:r>
      <w:r w:rsidR="00B40888">
        <w:rPr>
          <w:rFonts w:cs="Arial"/>
          <w:bCs/>
          <w:szCs w:val="24"/>
        </w:rPr>
        <w:t xml:space="preserve"> this year</w:t>
      </w:r>
      <w:r w:rsidR="00C848AF">
        <w:rPr>
          <w:rFonts w:cs="Arial"/>
          <w:bCs/>
          <w:szCs w:val="24"/>
        </w:rPr>
        <w:t>.</w:t>
      </w:r>
      <w:r w:rsidR="00B40888">
        <w:rPr>
          <w:rFonts w:cs="Arial"/>
          <w:bCs/>
          <w:szCs w:val="24"/>
        </w:rPr>
        <w:t xml:space="preserve"> A favourable movement of (£500k) when compared to Quarter 1.</w:t>
      </w:r>
    </w:p>
    <w:p w14:paraId="11C875F6" w14:textId="77777777" w:rsidR="002A360B" w:rsidRPr="003634DA" w:rsidRDefault="002A360B" w:rsidP="00D644A2">
      <w:pPr>
        <w:pStyle w:val="ListParagraph"/>
        <w:ind w:left="567"/>
        <w:jc w:val="both"/>
        <w:rPr>
          <w:rFonts w:cs="Arial"/>
          <w:szCs w:val="24"/>
          <w:lang w:val="en-US"/>
        </w:rPr>
      </w:pPr>
    </w:p>
    <w:p w14:paraId="7161EB42" w14:textId="526216CA" w:rsidR="00603BA2" w:rsidRPr="00D644A2" w:rsidRDefault="002A360B">
      <w:pPr>
        <w:pStyle w:val="ListParagraph"/>
        <w:ind w:left="567"/>
        <w:jc w:val="both"/>
        <w:rPr>
          <w:rFonts w:cs="Arial"/>
          <w:szCs w:val="24"/>
          <w:u w:val="single"/>
          <w:lang w:val="en-US"/>
        </w:rPr>
      </w:pPr>
      <w:r w:rsidRPr="00D644A2">
        <w:rPr>
          <w:rFonts w:cs="Arial"/>
          <w:szCs w:val="24"/>
          <w:u w:val="single"/>
          <w:lang w:val="en-US"/>
        </w:rPr>
        <w:t>One-Off Income After Budget Setting</w:t>
      </w:r>
    </w:p>
    <w:p w14:paraId="55634344" w14:textId="55B96600" w:rsidR="00603BA2" w:rsidRPr="00D644A2" w:rsidRDefault="00A14195" w:rsidP="00D644A2">
      <w:pPr>
        <w:pStyle w:val="ListParagraph"/>
        <w:numPr>
          <w:ilvl w:val="0"/>
          <w:numId w:val="61"/>
        </w:numPr>
        <w:ind w:left="567" w:hanging="567"/>
        <w:jc w:val="both"/>
        <w:rPr>
          <w:rFonts w:cs="Arial"/>
          <w:szCs w:val="24"/>
          <w:lang w:val="en-US"/>
        </w:rPr>
      </w:pPr>
      <w:r w:rsidRPr="00D644A2">
        <w:rPr>
          <w:rFonts w:cs="Arial"/>
          <w:szCs w:val="24"/>
          <w:lang w:val="en-US"/>
        </w:rPr>
        <w:t xml:space="preserve">The council </w:t>
      </w:r>
      <w:r w:rsidR="00C94F64" w:rsidRPr="00D644A2">
        <w:rPr>
          <w:rFonts w:cs="Arial"/>
          <w:szCs w:val="24"/>
          <w:lang w:val="en-US"/>
        </w:rPr>
        <w:t>has</w:t>
      </w:r>
      <w:r w:rsidRPr="00D644A2">
        <w:rPr>
          <w:rFonts w:cs="Arial"/>
          <w:szCs w:val="24"/>
          <w:lang w:val="en-US"/>
        </w:rPr>
        <w:t xml:space="preserve"> also received </w:t>
      </w:r>
      <w:r w:rsidR="00710E25" w:rsidRPr="00D644A2">
        <w:rPr>
          <w:rFonts w:cs="Arial"/>
          <w:szCs w:val="24"/>
          <w:lang w:val="en-US"/>
        </w:rPr>
        <w:t xml:space="preserve">£289k </w:t>
      </w:r>
      <w:r w:rsidRPr="00D644A2">
        <w:rPr>
          <w:rFonts w:cs="Arial"/>
          <w:szCs w:val="24"/>
          <w:lang w:val="en-US"/>
        </w:rPr>
        <w:t xml:space="preserve">one-off income </w:t>
      </w:r>
      <w:r w:rsidR="00C94F64" w:rsidRPr="00D644A2">
        <w:rPr>
          <w:rFonts w:cs="Arial"/>
          <w:szCs w:val="24"/>
          <w:lang w:val="en-US"/>
        </w:rPr>
        <w:t xml:space="preserve">from </w:t>
      </w:r>
      <w:r w:rsidR="008D011A" w:rsidRPr="00D644A2">
        <w:rPr>
          <w:rFonts w:cs="Arial"/>
          <w:szCs w:val="24"/>
          <w:lang w:val="en-US"/>
        </w:rPr>
        <w:t xml:space="preserve">the </w:t>
      </w:r>
      <w:r w:rsidR="00C94F64" w:rsidRPr="00D644A2">
        <w:rPr>
          <w:rFonts w:cs="Arial"/>
          <w:szCs w:val="24"/>
          <w:lang w:val="en-US"/>
        </w:rPr>
        <w:t xml:space="preserve">West London Waste Authority after the budget was set in February 2019. This payment relates to a rebate on the 2018/19 waste levy. </w:t>
      </w:r>
    </w:p>
    <w:p w14:paraId="0E4B9A3A" w14:textId="77777777" w:rsidR="00446D9A" w:rsidRDefault="00446D9A">
      <w:pPr>
        <w:pStyle w:val="ListParagraph"/>
        <w:ind w:left="567"/>
        <w:jc w:val="both"/>
        <w:rPr>
          <w:rFonts w:cs="Arial"/>
          <w:szCs w:val="24"/>
          <w:lang w:val="en-US"/>
        </w:rPr>
      </w:pPr>
    </w:p>
    <w:p w14:paraId="05685A72" w14:textId="77777777" w:rsidR="00446D9A" w:rsidRPr="003634DA" w:rsidRDefault="00446D9A">
      <w:pPr>
        <w:pStyle w:val="ListParagraph"/>
        <w:ind w:left="567"/>
        <w:jc w:val="both"/>
        <w:rPr>
          <w:rFonts w:cs="Arial"/>
          <w:szCs w:val="24"/>
          <w:lang w:val="en-US"/>
        </w:rPr>
      </w:pPr>
    </w:p>
    <w:p w14:paraId="53010E03" w14:textId="64065259" w:rsidR="00BD3890" w:rsidRPr="003634DA" w:rsidRDefault="00F12AC4">
      <w:pPr>
        <w:pStyle w:val="ListParagraph"/>
        <w:ind w:left="567"/>
        <w:jc w:val="both"/>
        <w:rPr>
          <w:rFonts w:cs="Arial"/>
          <w:b/>
          <w:szCs w:val="24"/>
          <w:u w:val="single"/>
          <w:lang w:val="en-US"/>
        </w:rPr>
      </w:pPr>
      <w:r w:rsidRPr="003634DA">
        <w:rPr>
          <w:rFonts w:cs="Arial"/>
          <w:b/>
          <w:szCs w:val="24"/>
          <w:u w:val="single"/>
        </w:rPr>
        <w:t>EARMARKED RESERVES</w:t>
      </w:r>
    </w:p>
    <w:p w14:paraId="53E9E9A1" w14:textId="387AFD42" w:rsidR="0033656D" w:rsidRDefault="0033656D" w:rsidP="00825AC5">
      <w:pPr>
        <w:pStyle w:val="ListParagraph"/>
        <w:numPr>
          <w:ilvl w:val="0"/>
          <w:numId w:val="61"/>
        </w:numPr>
        <w:ind w:left="567" w:hanging="567"/>
        <w:jc w:val="both"/>
        <w:rPr>
          <w:rFonts w:cs="Arial"/>
          <w:szCs w:val="24"/>
          <w:lang w:val="en-US"/>
        </w:rPr>
      </w:pPr>
      <w:r w:rsidRPr="0023702C">
        <w:rPr>
          <w:rFonts w:cs="Arial"/>
          <w:szCs w:val="24"/>
          <w:lang w:val="en-US"/>
        </w:rPr>
        <w:t>The</w:t>
      </w:r>
      <w:r w:rsidR="00543AAE">
        <w:rPr>
          <w:rFonts w:cs="Arial"/>
          <w:szCs w:val="24"/>
          <w:lang w:val="en-US"/>
        </w:rPr>
        <w:t xml:space="preserve"> Council holds reserves of £63m, ear marked for specific reason</w:t>
      </w:r>
      <w:r w:rsidR="00446D9A">
        <w:rPr>
          <w:rFonts w:cs="Arial"/>
          <w:szCs w:val="24"/>
          <w:lang w:val="en-US"/>
        </w:rPr>
        <w:t>s</w:t>
      </w:r>
      <w:r w:rsidR="00543AAE">
        <w:rPr>
          <w:rFonts w:cs="Arial"/>
          <w:szCs w:val="24"/>
          <w:lang w:val="en-US"/>
        </w:rPr>
        <w:t xml:space="preserve"> including General Fund Reserve</w:t>
      </w:r>
      <w:r w:rsidR="00115A71">
        <w:rPr>
          <w:rFonts w:cs="Arial"/>
          <w:szCs w:val="24"/>
          <w:lang w:val="en-US"/>
        </w:rPr>
        <w:t>s</w:t>
      </w:r>
      <w:r w:rsidR="00446D9A">
        <w:rPr>
          <w:rFonts w:cs="Arial"/>
          <w:szCs w:val="24"/>
          <w:lang w:val="en-US"/>
        </w:rPr>
        <w:t xml:space="preserve"> </w:t>
      </w:r>
      <w:r w:rsidR="00543AAE">
        <w:rPr>
          <w:rFonts w:cs="Arial"/>
          <w:szCs w:val="24"/>
          <w:lang w:val="en-US"/>
        </w:rPr>
        <w:t xml:space="preserve">of £10m. </w:t>
      </w:r>
      <w:r w:rsidR="00446D9A">
        <w:rPr>
          <w:rFonts w:cs="Arial"/>
          <w:szCs w:val="24"/>
          <w:lang w:val="en-US"/>
        </w:rPr>
        <w:t>Table 5 provides</w:t>
      </w:r>
      <w:r w:rsidR="0047663D">
        <w:rPr>
          <w:rFonts w:cs="Arial"/>
          <w:szCs w:val="24"/>
          <w:lang w:val="en-US"/>
        </w:rPr>
        <w:t xml:space="preserve"> a more</w:t>
      </w:r>
      <w:r w:rsidR="00446D9A">
        <w:rPr>
          <w:rFonts w:cs="Arial"/>
          <w:szCs w:val="24"/>
          <w:lang w:val="en-US"/>
        </w:rPr>
        <w:t xml:space="preserve"> detailed analysis of reserves held:</w:t>
      </w:r>
    </w:p>
    <w:p w14:paraId="38A17BFA" w14:textId="77777777" w:rsidR="00820402" w:rsidRDefault="00820402" w:rsidP="008933D6">
      <w:pPr>
        <w:pStyle w:val="ListParagraph"/>
        <w:ind w:left="567"/>
        <w:jc w:val="both"/>
        <w:rPr>
          <w:rFonts w:cs="Arial"/>
          <w:szCs w:val="24"/>
          <w:lang w:val="en-US"/>
        </w:rPr>
      </w:pPr>
    </w:p>
    <w:p w14:paraId="0D6E3842" w14:textId="1B9192F9" w:rsidR="00A71395" w:rsidRDefault="0033656D" w:rsidP="00825AC5">
      <w:pPr>
        <w:pStyle w:val="ListParagraph"/>
        <w:ind w:left="567" w:right="4819"/>
        <w:jc w:val="both"/>
        <w:rPr>
          <w:rFonts w:cs="Arial"/>
          <w:b/>
          <w:szCs w:val="24"/>
          <w:u w:val="single"/>
          <w:lang w:val="en-US"/>
        </w:rPr>
      </w:pPr>
      <w:r w:rsidRPr="003634DA">
        <w:rPr>
          <w:rFonts w:cs="Arial"/>
          <w:b/>
          <w:szCs w:val="24"/>
          <w:u w:val="single"/>
          <w:lang w:val="en-US"/>
        </w:rPr>
        <w:t>Table 5: Earmarked Reserves</w:t>
      </w:r>
      <w:r w:rsidR="005178DB" w:rsidRPr="005178DB">
        <w:rPr>
          <w:rFonts w:cs="Arial"/>
          <w:b/>
          <w:szCs w:val="24"/>
          <w:u w:val="single"/>
          <w:lang w:val="en-US"/>
        </w:rPr>
        <w:t xml:space="preserve"> </w:t>
      </w:r>
    </w:p>
    <w:p w14:paraId="719D3402" w14:textId="706C67BE" w:rsidR="0033656D" w:rsidRDefault="009B44E2">
      <w:pPr>
        <w:pStyle w:val="ListParagraph"/>
        <w:ind w:left="567" w:right="5245"/>
        <w:jc w:val="both"/>
      </w:pPr>
      <w:r w:rsidRPr="009B44E2">
        <w:rPr>
          <w:noProof/>
          <w:lang w:eastAsia="en-GB"/>
        </w:rPr>
        <w:drawing>
          <wp:inline distT="0" distB="0" distL="0" distR="0" wp14:anchorId="6210787F" wp14:editId="12A816C4">
            <wp:extent cx="5672695" cy="446063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2695" cy="4460631"/>
                    </a:xfrm>
                    <a:prstGeom prst="rect">
                      <a:avLst/>
                    </a:prstGeom>
                    <a:noFill/>
                    <a:ln>
                      <a:noFill/>
                    </a:ln>
                  </pic:spPr>
                </pic:pic>
              </a:graphicData>
            </a:graphic>
          </wp:inline>
        </w:drawing>
      </w:r>
    </w:p>
    <w:p w14:paraId="664D9A6E" w14:textId="77777777" w:rsidR="00820402" w:rsidRDefault="00820402">
      <w:pPr>
        <w:pStyle w:val="ListParagraph"/>
        <w:ind w:left="567" w:right="5245"/>
        <w:jc w:val="both"/>
      </w:pPr>
    </w:p>
    <w:p w14:paraId="4A2A5117" w14:textId="77777777" w:rsidR="00820402" w:rsidRDefault="00820402">
      <w:pPr>
        <w:pStyle w:val="ListParagraph"/>
        <w:ind w:left="567" w:right="5245"/>
        <w:jc w:val="both"/>
      </w:pPr>
    </w:p>
    <w:p w14:paraId="78B21420" w14:textId="02F80117" w:rsidR="007518BE" w:rsidRPr="00825AC5" w:rsidRDefault="007518BE" w:rsidP="00825AC5">
      <w:pPr>
        <w:ind w:firstLine="567"/>
        <w:jc w:val="both"/>
        <w:rPr>
          <w:rFonts w:cs="Arial"/>
          <w:b/>
          <w:bCs/>
          <w:szCs w:val="24"/>
          <w:u w:val="single"/>
        </w:rPr>
      </w:pPr>
      <w:r w:rsidRPr="00825AC5">
        <w:rPr>
          <w:rFonts w:cs="Arial"/>
          <w:b/>
          <w:bCs/>
          <w:szCs w:val="24"/>
          <w:u w:val="single"/>
        </w:rPr>
        <w:t>MTFS IMPLEMENTATION TRACKER</w:t>
      </w:r>
    </w:p>
    <w:p w14:paraId="3F41837E" w14:textId="09138337" w:rsidR="00101FE5" w:rsidRDefault="00101FE5" w:rsidP="00825AC5">
      <w:pPr>
        <w:pStyle w:val="ListParagraph"/>
        <w:numPr>
          <w:ilvl w:val="0"/>
          <w:numId w:val="61"/>
        </w:numPr>
        <w:ind w:left="567" w:hanging="567"/>
        <w:jc w:val="both"/>
        <w:rPr>
          <w:rFonts w:cs="Arial"/>
          <w:szCs w:val="24"/>
          <w:lang w:val="en-US"/>
        </w:rPr>
      </w:pPr>
      <w:r w:rsidRPr="007C0D59">
        <w:rPr>
          <w:rFonts w:cs="Arial"/>
          <w:szCs w:val="24"/>
          <w:lang w:val="en-US"/>
        </w:rPr>
        <w:t xml:space="preserve">The 2019/20 budget includes </w:t>
      </w:r>
      <w:r w:rsidR="000F6980" w:rsidRPr="007C0D59">
        <w:rPr>
          <w:rFonts w:cs="Arial"/>
          <w:szCs w:val="24"/>
          <w:lang w:val="en-US"/>
        </w:rPr>
        <w:t>approved savings</w:t>
      </w:r>
      <w:r w:rsidRPr="007C0D59">
        <w:rPr>
          <w:rFonts w:cs="Arial"/>
          <w:szCs w:val="24"/>
          <w:lang w:val="en-US"/>
        </w:rPr>
        <w:t xml:space="preserve"> of £5.946m</w:t>
      </w:r>
      <w:r w:rsidR="00703EAC">
        <w:rPr>
          <w:rFonts w:cs="Arial"/>
          <w:szCs w:val="24"/>
          <w:lang w:val="en-US"/>
        </w:rPr>
        <w:t>.</w:t>
      </w:r>
    </w:p>
    <w:p w14:paraId="52FDD1CB" w14:textId="77777777" w:rsidR="00DF5888" w:rsidRDefault="00DF5888">
      <w:pPr>
        <w:pStyle w:val="ListParagraph"/>
        <w:ind w:left="831"/>
        <w:jc w:val="both"/>
        <w:rPr>
          <w:rFonts w:cs="Arial"/>
          <w:szCs w:val="24"/>
          <w:lang w:val="en-US"/>
        </w:rPr>
      </w:pPr>
    </w:p>
    <w:p w14:paraId="131434E5" w14:textId="70EAAB34" w:rsidR="00101FE5" w:rsidRDefault="00101FE5" w:rsidP="00825AC5">
      <w:pPr>
        <w:pStyle w:val="ListParagraph"/>
        <w:numPr>
          <w:ilvl w:val="0"/>
          <w:numId w:val="61"/>
        </w:numPr>
        <w:ind w:left="567" w:hanging="567"/>
        <w:jc w:val="both"/>
        <w:rPr>
          <w:rFonts w:cs="Arial"/>
          <w:szCs w:val="24"/>
          <w:lang w:val="en-US"/>
        </w:rPr>
      </w:pPr>
      <w:r w:rsidRPr="009E4B36">
        <w:rPr>
          <w:rFonts w:cs="Arial"/>
          <w:szCs w:val="24"/>
          <w:lang w:val="en-US"/>
        </w:rPr>
        <w:t xml:space="preserve">Appendix 4 shows a list of the individual red, green, and blue rated savings. The </w:t>
      </w:r>
      <w:r w:rsidRPr="00221D9F">
        <w:rPr>
          <w:rFonts w:cs="Arial"/>
          <w:szCs w:val="24"/>
          <w:lang w:val="en-US"/>
        </w:rPr>
        <w:t xml:space="preserve">definition used to classify </w:t>
      </w:r>
      <w:r w:rsidR="008F243E">
        <w:rPr>
          <w:rFonts w:cs="Arial"/>
          <w:szCs w:val="24"/>
          <w:lang w:val="en-US"/>
        </w:rPr>
        <w:t>the RAG status is detail</w:t>
      </w:r>
      <w:r w:rsidR="00C018C0">
        <w:rPr>
          <w:rFonts w:cs="Arial"/>
          <w:szCs w:val="24"/>
          <w:lang w:val="en-US"/>
        </w:rPr>
        <w:t xml:space="preserve">ed in </w:t>
      </w:r>
      <w:r w:rsidRPr="00221D9F">
        <w:rPr>
          <w:rFonts w:cs="Arial"/>
          <w:szCs w:val="24"/>
          <w:lang w:val="en-US"/>
        </w:rPr>
        <w:t>table</w:t>
      </w:r>
      <w:r w:rsidR="00C018C0">
        <w:rPr>
          <w:rFonts w:cs="Arial"/>
          <w:szCs w:val="24"/>
          <w:lang w:val="en-US"/>
        </w:rPr>
        <w:t xml:space="preserve"> 6</w:t>
      </w:r>
      <w:r w:rsidRPr="00221D9F">
        <w:rPr>
          <w:rFonts w:cs="Arial"/>
          <w:szCs w:val="24"/>
          <w:lang w:val="en-US"/>
        </w:rPr>
        <w:t xml:space="preserve"> below:</w:t>
      </w:r>
    </w:p>
    <w:p w14:paraId="09FEEA9C" w14:textId="77777777" w:rsidR="009F0434" w:rsidRDefault="009F0434" w:rsidP="00825AC5">
      <w:pPr>
        <w:pStyle w:val="ListParagraph"/>
        <w:jc w:val="both"/>
        <w:rPr>
          <w:rFonts w:cs="Arial"/>
          <w:szCs w:val="24"/>
          <w:lang w:val="en-US"/>
        </w:rPr>
      </w:pPr>
    </w:p>
    <w:p w14:paraId="67FB0811" w14:textId="6D7DA7FA" w:rsidR="00101FE5" w:rsidRPr="0023702C" w:rsidRDefault="00EB4B9A" w:rsidP="00825AC5">
      <w:pPr>
        <w:pStyle w:val="ListParagraph"/>
        <w:tabs>
          <w:tab w:val="left" w:pos="709"/>
          <w:tab w:val="left" w:pos="3544"/>
        </w:tabs>
        <w:ind w:left="567" w:right="4961"/>
        <w:jc w:val="both"/>
        <w:rPr>
          <w:rFonts w:cs="Arial"/>
          <w:b/>
          <w:szCs w:val="24"/>
          <w:u w:val="single"/>
          <w:lang w:val="en-US"/>
        </w:rPr>
      </w:pPr>
      <w:r>
        <w:rPr>
          <w:rFonts w:cs="Arial"/>
          <w:b/>
          <w:szCs w:val="24"/>
          <w:u w:val="single"/>
          <w:lang w:val="en-US"/>
        </w:rPr>
        <w:t>T</w:t>
      </w:r>
      <w:r w:rsidR="005178DB">
        <w:rPr>
          <w:rFonts w:cs="Arial"/>
          <w:b/>
          <w:szCs w:val="24"/>
          <w:u w:val="single"/>
          <w:lang w:val="en-US"/>
        </w:rPr>
        <w:t>able 6</w:t>
      </w:r>
      <w:r w:rsidR="00101FE5" w:rsidRPr="003634DA">
        <w:rPr>
          <w:rFonts w:cs="Arial"/>
          <w:b/>
          <w:szCs w:val="24"/>
          <w:u w:val="single"/>
          <w:lang w:val="en-US"/>
        </w:rPr>
        <w:t>: Savings Definition</w:t>
      </w:r>
      <w:r w:rsidR="009F0434" w:rsidRPr="009F0434">
        <w:rPr>
          <w:noProof/>
          <w:lang w:eastAsia="en-GB"/>
        </w:rPr>
        <w:drawing>
          <wp:inline distT="0" distB="0" distL="0" distR="0" wp14:anchorId="6FEC3207" wp14:editId="21E60573">
            <wp:extent cx="5269523" cy="1594338"/>
            <wp:effectExtent l="0" t="0" r="762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2695" cy="1595298"/>
                    </a:xfrm>
                    <a:prstGeom prst="rect">
                      <a:avLst/>
                    </a:prstGeom>
                    <a:noFill/>
                    <a:ln>
                      <a:noFill/>
                    </a:ln>
                  </pic:spPr>
                </pic:pic>
              </a:graphicData>
            </a:graphic>
          </wp:inline>
        </w:drawing>
      </w:r>
    </w:p>
    <w:p w14:paraId="0FD6A12E" w14:textId="77777777" w:rsidR="00C018C0" w:rsidRDefault="00C018C0">
      <w:pPr>
        <w:pStyle w:val="ListParagraph"/>
        <w:ind w:left="567" w:right="1178"/>
        <w:jc w:val="both"/>
        <w:rPr>
          <w:rFonts w:cs="Arial"/>
          <w:b/>
          <w:szCs w:val="24"/>
          <w:u w:val="single"/>
          <w:lang w:val="en-US"/>
        </w:rPr>
      </w:pPr>
    </w:p>
    <w:p w14:paraId="7A5A0CE8" w14:textId="4E080200" w:rsidR="00C018C0" w:rsidRPr="006A7BE0" w:rsidRDefault="00C018C0" w:rsidP="00825AC5">
      <w:pPr>
        <w:pStyle w:val="ListParagraph"/>
        <w:numPr>
          <w:ilvl w:val="0"/>
          <w:numId w:val="61"/>
        </w:numPr>
        <w:ind w:left="567" w:hanging="567"/>
        <w:jc w:val="both"/>
        <w:rPr>
          <w:rFonts w:cs="Arial"/>
          <w:b/>
          <w:szCs w:val="24"/>
          <w:u w:val="single"/>
          <w:lang w:val="en-US"/>
        </w:rPr>
      </w:pPr>
      <w:r w:rsidRPr="00C018C0">
        <w:rPr>
          <w:rFonts w:cs="Arial"/>
          <w:bCs/>
          <w:szCs w:val="24"/>
        </w:rPr>
        <w:t xml:space="preserve">Table </w:t>
      </w:r>
      <w:r>
        <w:rPr>
          <w:rFonts w:cs="Arial"/>
          <w:bCs/>
          <w:szCs w:val="24"/>
        </w:rPr>
        <w:t>7</w:t>
      </w:r>
      <w:r w:rsidRPr="00C018C0">
        <w:rPr>
          <w:rFonts w:cs="Arial"/>
          <w:bCs/>
          <w:szCs w:val="24"/>
        </w:rPr>
        <w:t xml:space="preserve"> below shows the summarised position for each directorate</w:t>
      </w:r>
      <w:r>
        <w:rPr>
          <w:rFonts w:cs="Arial"/>
          <w:bCs/>
          <w:szCs w:val="24"/>
        </w:rPr>
        <w:t xml:space="preserve"> as at Q</w:t>
      </w:r>
      <w:r w:rsidRPr="00C018C0">
        <w:rPr>
          <w:rFonts w:cs="Arial"/>
          <w:bCs/>
          <w:szCs w:val="24"/>
        </w:rPr>
        <w:t xml:space="preserve">uarter </w:t>
      </w:r>
      <w:r w:rsidR="004724BB">
        <w:rPr>
          <w:rFonts w:cs="Arial"/>
          <w:bCs/>
          <w:szCs w:val="24"/>
        </w:rPr>
        <w:t>2</w:t>
      </w:r>
      <w:r>
        <w:rPr>
          <w:rFonts w:cs="Arial"/>
          <w:bCs/>
          <w:szCs w:val="24"/>
        </w:rPr>
        <w:t>.</w:t>
      </w:r>
    </w:p>
    <w:p w14:paraId="0B6D76D0" w14:textId="77777777" w:rsidR="00CD062E" w:rsidRDefault="00CD062E">
      <w:pPr>
        <w:pStyle w:val="ListParagraph"/>
        <w:ind w:left="567"/>
        <w:jc w:val="both"/>
        <w:rPr>
          <w:rFonts w:cs="Arial"/>
          <w:b/>
          <w:szCs w:val="24"/>
          <w:u w:val="single"/>
          <w:lang w:val="en-US"/>
        </w:rPr>
      </w:pPr>
    </w:p>
    <w:p w14:paraId="030E6FD4" w14:textId="3AC026E2" w:rsidR="00547729" w:rsidRPr="009E4B36" w:rsidRDefault="005178DB" w:rsidP="00825AC5">
      <w:pPr>
        <w:pStyle w:val="ListParagraph"/>
        <w:ind w:left="567" w:right="1559"/>
        <w:jc w:val="both"/>
        <w:rPr>
          <w:rFonts w:cs="Arial"/>
          <w:b/>
          <w:szCs w:val="24"/>
          <w:u w:val="single"/>
          <w:lang w:val="en-US"/>
        </w:rPr>
      </w:pPr>
      <w:r>
        <w:rPr>
          <w:rFonts w:cs="Arial"/>
          <w:b/>
          <w:szCs w:val="24"/>
          <w:u w:val="single"/>
          <w:lang w:val="en-US"/>
        </w:rPr>
        <w:t>Table 7</w:t>
      </w:r>
      <w:r w:rsidR="00603BA2">
        <w:rPr>
          <w:rFonts w:cs="Arial"/>
          <w:b/>
          <w:szCs w:val="24"/>
          <w:u w:val="single"/>
          <w:lang w:val="en-US"/>
        </w:rPr>
        <w:t>:</w:t>
      </w:r>
      <w:r w:rsidR="00603BA2" w:rsidRPr="00CA0075">
        <w:rPr>
          <w:rFonts w:cs="Arial"/>
          <w:b/>
          <w:szCs w:val="24"/>
          <w:u w:val="single"/>
          <w:lang w:val="en-US"/>
        </w:rPr>
        <w:t xml:space="preserve"> Savings</w:t>
      </w:r>
      <w:r w:rsidR="00547729" w:rsidRPr="00CA0075">
        <w:rPr>
          <w:rFonts w:cs="Arial"/>
          <w:b/>
          <w:szCs w:val="24"/>
          <w:u w:val="single"/>
          <w:lang w:val="en-US"/>
        </w:rPr>
        <w:t xml:space="preserve"> Tracker 2019/20 </w:t>
      </w:r>
      <w:r w:rsidR="00547729" w:rsidRPr="009E4B36">
        <w:rPr>
          <w:rFonts w:cs="Arial"/>
          <w:b/>
          <w:szCs w:val="24"/>
          <w:u w:val="single"/>
          <w:lang w:val="en-US"/>
        </w:rPr>
        <w:t xml:space="preserve">– Directorate </w:t>
      </w:r>
      <w:r w:rsidR="00241F3D">
        <w:rPr>
          <w:rFonts w:cs="Arial"/>
          <w:b/>
          <w:szCs w:val="24"/>
          <w:u w:val="single"/>
          <w:lang w:val="en-US"/>
        </w:rPr>
        <w:t>Su</w:t>
      </w:r>
      <w:r w:rsidR="00547729" w:rsidRPr="009E4B36">
        <w:rPr>
          <w:rFonts w:cs="Arial"/>
          <w:b/>
          <w:szCs w:val="24"/>
          <w:u w:val="single"/>
          <w:lang w:val="en-US"/>
        </w:rPr>
        <w:t>mmary</w:t>
      </w:r>
      <w:r w:rsidR="00630997" w:rsidRPr="00630997">
        <w:rPr>
          <w:rFonts w:cs="Arial"/>
          <w:b/>
          <w:szCs w:val="24"/>
          <w:u w:val="single"/>
          <w:lang w:val="en-US"/>
        </w:rPr>
        <w:t xml:space="preserve"> </w:t>
      </w:r>
      <w:r w:rsidR="002A25ED" w:rsidRPr="002A25ED">
        <w:rPr>
          <w:noProof/>
          <w:lang w:eastAsia="en-GB"/>
        </w:rPr>
        <w:drawing>
          <wp:inline distT="0" distB="0" distL="0" distR="0" wp14:anchorId="4FA68EE2" wp14:editId="14FA43DD">
            <wp:extent cx="5328136" cy="112541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8136" cy="1125416"/>
                    </a:xfrm>
                    <a:prstGeom prst="rect">
                      <a:avLst/>
                    </a:prstGeom>
                    <a:noFill/>
                    <a:ln>
                      <a:noFill/>
                    </a:ln>
                  </pic:spPr>
                </pic:pic>
              </a:graphicData>
            </a:graphic>
          </wp:inline>
        </w:drawing>
      </w:r>
      <w:r w:rsidR="002A25ED" w:rsidRPr="002A25ED" w:rsidDel="002A25ED">
        <w:t xml:space="preserve"> </w:t>
      </w:r>
    </w:p>
    <w:p w14:paraId="110A5975" w14:textId="011FB6BE" w:rsidR="00B52BE4" w:rsidRPr="00825AC5" w:rsidRDefault="00B52BE4" w:rsidP="00825AC5">
      <w:pPr>
        <w:pStyle w:val="ListParagraph"/>
        <w:ind w:left="567"/>
        <w:jc w:val="both"/>
        <w:rPr>
          <w:rFonts w:cs="Arial"/>
          <w:b/>
          <w:szCs w:val="24"/>
          <w:u w:val="single"/>
          <w:lang w:val="en-US"/>
        </w:rPr>
      </w:pPr>
    </w:p>
    <w:p w14:paraId="4D36DFC1" w14:textId="6F4A9E3E" w:rsidR="002529E2" w:rsidRPr="00825AC5" w:rsidRDefault="002529E2" w:rsidP="00825AC5">
      <w:pPr>
        <w:pStyle w:val="ListParagraph"/>
        <w:numPr>
          <w:ilvl w:val="0"/>
          <w:numId w:val="61"/>
        </w:numPr>
        <w:ind w:left="567" w:hanging="567"/>
        <w:jc w:val="both"/>
        <w:rPr>
          <w:rFonts w:cs="Arial"/>
          <w:b/>
          <w:szCs w:val="24"/>
          <w:u w:val="single"/>
          <w:lang w:val="en-US"/>
        </w:rPr>
      </w:pPr>
      <w:r>
        <w:rPr>
          <w:rFonts w:cs="Arial"/>
          <w:bCs/>
          <w:szCs w:val="24"/>
        </w:rPr>
        <w:t xml:space="preserve">In Community </w:t>
      </w:r>
      <w:r w:rsidR="00B52BE4">
        <w:rPr>
          <w:rFonts w:cs="Arial"/>
          <w:bCs/>
          <w:szCs w:val="24"/>
        </w:rPr>
        <w:t>two savings totalling £275k has moved from green (£75k) and amber (£200k)  to red as follows:</w:t>
      </w:r>
    </w:p>
    <w:p w14:paraId="0C37D9B6" w14:textId="62CCAA43" w:rsidR="00207C16" w:rsidRPr="00072658" w:rsidRDefault="00207C16" w:rsidP="00825AC5">
      <w:pPr>
        <w:pStyle w:val="ListParagraph"/>
        <w:jc w:val="both"/>
        <w:rPr>
          <w:rFonts w:cs="Arial"/>
          <w:b/>
          <w:szCs w:val="24"/>
          <w:u w:val="single"/>
          <w:lang w:val="en-US"/>
        </w:rPr>
      </w:pPr>
    </w:p>
    <w:p w14:paraId="12AB50B6" w14:textId="1E9CBDB3" w:rsidR="00D06D92" w:rsidRPr="00A81783" w:rsidRDefault="009069BE" w:rsidP="00825AC5">
      <w:pPr>
        <w:pStyle w:val="ListParagraph"/>
        <w:numPr>
          <w:ilvl w:val="1"/>
          <w:numId w:val="61"/>
        </w:numPr>
        <w:ind w:left="567" w:hanging="283"/>
        <w:jc w:val="both"/>
        <w:rPr>
          <w:rFonts w:cs="Arial"/>
          <w:bCs/>
          <w:szCs w:val="24"/>
        </w:rPr>
      </w:pPr>
      <w:r w:rsidRPr="00825AC5">
        <w:rPr>
          <w:rFonts w:cs="Arial"/>
          <w:bCs/>
          <w:szCs w:val="24"/>
        </w:rPr>
        <w:t>The route optimi</w:t>
      </w:r>
      <w:r w:rsidR="009F0434" w:rsidRPr="00825AC5">
        <w:rPr>
          <w:rFonts w:cs="Arial"/>
          <w:bCs/>
          <w:szCs w:val="24"/>
        </w:rPr>
        <w:t>s</w:t>
      </w:r>
      <w:r w:rsidRPr="00825AC5">
        <w:rPr>
          <w:rFonts w:cs="Arial"/>
          <w:bCs/>
          <w:szCs w:val="24"/>
        </w:rPr>
        <w:t xml:space="preserve">ation savings </w:t>
      </w:r>
      <w:r w:rsidR="00CB7A10" w:rsidRPr="00825AC5">
        <w:rPr>
          <w:rFonts w:cs="Arial"/>
          <w:bCs/>
          <w:szCs w:val="24"/>
        </w:rPr>
        <w:t xml:space="preserve">COM_S12 </w:t>
      </w:r>
      <w:r w:rsidRPr="00825AC5">
        <w:rPr>
          <w:rFonts w:cs="Arial"/>
          <w:bCs/>
          <w:szCs w:val="24"/>
        </w:rPr>
        <w:t xml:space="preserve">of £75k has moved from green to red. </w:t>
      </w:r>
      <w:r w:rsidR="003745F4" w:rsidRPr="00A81783">
        <w:rPr>
          <w:rFonts w:cs="Arial"/>
          <w:bCs/>
          <w:szCs w:val="24"/>
        </w:rPr>
        <w:t xml:space="preserve">There </w:t>
      </w:r>
      <w:r w:rsidR="003745F4" w:rsidRPr="00825AC5">
        <w:rPr>
          <w:rFonts w:cs="Arial"/>
          <w:bCs/>
          <w:szCs w:val="24"/>
        </w:rPr>
        <w:t>was</w:t>
      </w:r>
      <w:r w:rsidR="00A24DCF" w:rsidRPr="00825AC5">
        <w:rPr>
          <w:rFonts w:cs="Arial"/>
          <w:bCs/>
          <w:szCs w:val="24"/>
        </w:rPr>
        <w:t xml:space="preserve"> a saving target of £150k profiled over 2018/19 and 2019/20. The food waste related initiatives are being progressed as part of the implementation of Waste Review. However, it is not expected that any further route optimisation will achieve a reduction of waste rounds at this stage.</w:t>
      </w:r>
      <w:r w:rsidR="00CC0500" w:rsidRPr="00825AC5">
        <w:rPr>
          <w:rFonts w:cs="Arial"/>
          <w:bCs/>
          <w:szCs w:val="24"/>
        </w:rPr>
        <w:t xml:space="preserve"> </w:t>
      </w:r>
      <w:r w:rsidR="00D06D92" w:rsidRPr="00825AC5">
        <w:rPr>
          <w:rFonts w:cs="Arial"/>
          <w:bCs/>
          <w:szCs w:val="24"/>
        </w:rPr>
        <w:t>This saving has</w:t>
      </w:r>
      <w:r w:rsidR="00CC0500" w:rsidRPr="00825AC5">
        <w:rPr>
          <w:rFonts w:cs="Arial"/>
          <w:bCs/>
          <w:szCs w:val="24"/>
        </w:rPr>
        <w:t xml:space="preserve"> been reversed out as part of the 2020/21 </w:t>
      </w:r>
      <w:r w:rsidR="006E1B96" w:rsidRPr="00825AC5">
        <w:rPr>
          <w:rFonts w:cs="Arial"/>
          <w:bCs/>
          <w:szCs w:val="24"/>
        </w:rPr>
        <w:t>Medium</w:t>
      </w:r>
      <w:r w:rsidR="005842EB" w:rsidRPr="00825AC5">
        <w:rPr>
          <w:rFonts w:cs="Arial"/>
          <w:bCs/>
          <w:szCs w:val="24"/>
        </w:rPr>
        <w:t xml:space="preserve"> </w:t>
      </w:r>
      <w:r w:rsidR="00CC0500" w:rsidRPr="00A81783">
        <w:rPr>
          <w:rFonts w:cs="Arial"/>
          <w:bCs/>
          <w:szCs w:val="24"/>
        </w:rPr>
        <w:t>T</w:t>
      </w:r>
      <w:r w:rsidR="005842EB" w:rsidRPr="00825AC5">
        <w:rPr>
          <w:rFonts w:cs="Arial"/>
          <w:bCs/>
          <w:szCs w:val="24"/>
        </w:rPr>
        <w:t xml:space="preserve">erm </w:t>
      </w:r>
      <w:r w:rsidR="00CC0500" w:rsidRPr="00A81783">
        <w:rPr>
          <w:rFonts w:cs="Arial"/>
          <w:bCs/>
          <w:szCs w:val="24"/>
        </w:rPr>
        <w:t>F</w:t>
      </w:r>
      <w:r w:rsidR="005842EB" w:rsidRPr="00825AC5">
        <w:rPr>
          <w:rFonts w:cs="Arial"/>
          <w:bCs/>
          <w:szCs w:val="24"/>
        </w:rPr>
        <w:t xml:space="preserve">inancial </w:t>
      </w:r>
      <w:r w:rsidR="00CC0500" w:rsidRPr="00A81783">
        <w:rPr>
          <w:rFonts w:cs="Arial"/>
          <w:bCs/>
          <w:szCs w:val="24"/>
        </w:rPr>
        <w:t>S</w:t>
      </w:r>
      <w:r w:rsidR="005842EB" w:rsidRPr="00825AC5">
        <w:rPr>
          <w:rFonts w:cs="Arial"/>
          <w:bCs/>
          <w:szCs w:val="24"/>
        </w:rPr>
        <w:t>trategy</w:t>
      </w:r>
      <w:r w:rsidR="00CC0500" w:rsidRPr="00A81783">
        <w:rPr>
          <w:rFonts w:cs="Arial"/>
          <w:bCs/>
          <w:szCs w:val="24"/>
        </w:rPr>
        <w:t xml:space="preserve"> </w:t>
      </w:r>
      <w:r w:rsidR="00CC0500" w:rsidRPr="00825AC5">
        <w:rPr>
          <w:rFonts w:cs="Arial"/>
          <w:bCs/>
          <w:szCs w:val="24"/>
        </w:rPr>
        <w:t xml:space="preserve">which is been </w:t>
      </w:r>
      <w:r w:rsidR="00CC0500" w:rsidRPr="00A81783">
        <w:rPr>
          <w:rFonts w:cs="Arial"/>
          <w:bCs/>
          <w:szCs w:val="24"/>
        </w:rPr>
        <w:t>report</w:t>
      </w:r>
      <w:r w:rsidR="00CC0500" w:rsidRPr="00825AC5">
        <w:rPr>
          <w:rFonts w:cs="Arial"/>
          <w:bCs/>
          <w:szCs w:val="24"/>
        </w:rPr>
        <w:t xml:space="preserve">ed </w:t>
      </w:r>
      <w:r w:rsidR="003745F4" w:rsidRPr="00825AC5">
        <w:rPr>
          <w:rFonts w:cs="Arial"/>
          <w:bCs/>
          <w:szCs w:val="24"/>
        </w:rPr>
        <w:t>elsewhere on</w:t>
      </w:r>
      <w:r w:rsidR="00CC0500" w:rsidRPr="00A81783">
        <w:rPr>
          <w:rFonts w:cs="Arial"/>
          <w:bCs/>
          <w:szCs w:val="24"/>
        </w:rPr>
        <w:t xml:space="preserve"> the </w:t>
      </w:r>
      <w:r w:rsidR="006E1B96" w:rsidRPr="00825AC5">
        <w:rPr>
          <w:rFonts w:cs="Arial"/>
          <w:bCs/>
          <w:szCs w:val="24"/>
        </w:rPr>
        <w:t xml:space="preserve">agenda. </w:t>
      </w:r>
    </w:p>
    <w:p w14:paraId="3B339240" w14:textId="77777777" w:rsidR="00D06D92" w:rsidRPr="0011774B" w:rsidRDefault="00D06D92" w:rsidP="00825AC5">
      <w:pPr>
        <w:pStyle w:val="ListParagraph"/>
        <w:rPr>
          <w:rFonts w:cs="Arial"/>
          <w:szCs w:val="24"/>
          <w:lang w:val="en-US"/>
        </w:rPr>
      </w:pPr>
    </w:p>
    <w:p w14:paraId="56F55BC3" w14:textId="77777777" w:rsidR="00BC6EAB" w:rsidRPr="00825AC5" w:rsidRDefault="00D06D92" w:rsidP="00825AC5">
      <w:pPr>
        <w:pStyle w:val="ListParagraph"/>
        <w:numPr>
          <w:ilvl w:val="1"/>
          <w:numId w:val="61"/>
        </w:numPr>
        <w:ind w:left="567" w:hanging="283"/>
        <w:jc w:val="both"/>
        <w:rPr>
          <w:rFonts w:cs="Arial"/>
          <w:b/>
          <w:szCs w:val="24"/>
          <w:u w:val="single"/>
          <w:lang w:val="en-US"/>
        </w:rPr>
      </w:pPr>
      <w:r w:rsidRPr="00D06D92">
        <w:rPr>
          <w:rFonts w:cs="Arial"/>
          <w:bCs/>
          <w:szCs w:val="24"/>
        </w:rPr>
        <w:t>The £200k CCTV Commercialisation savings COM18.19_S10 have been reclassified as red from amber. Commercial activities are linked to the creation of a new Alarm Receiving Centre at the depot (ARC). As there is a delay in the construction work at the depot, the ARC is not expected to be ready until late 2020. The procurement of CCTV infrastructure will be undertaken to support this. This pressure is being mitigated by an over-achievement of Network Management income and parking permits income.</w:t>
      </w:r>
    </w:p>
    <w:p w14:paraId="17B3CCC6" w14:textId="77777777" w:rsidR="00B52BE4" w:rsidRPr="00825AC5" w:rsidRDefault="00B52BE4" w:rsidP="00825AC5">
      <w:pPr>
        <w:pStyle w:val="ListParagraph"/>
        <w:rPr>
          <w:rFonts w:cs="Arial"/>
          <w:b/>
          <w:szCs w:val="24"/>
          <w:u w:val="single"/>
          <w:lang w:val="en-US"/>
        </w:rPr>
      </w:pPr>
    </w:p>
    <w:p w14:paraId="1CA5978D" w14:textId="4C9D83BC" w:rsidR="00B52BE4" w:rsidRPr="00825AC5" w:rsidRDefault="00B52BE4" w:rsidP="00825AC5">
      <w:pPr>
        <w:pStyle w:val="ListParagraph"/>
        <w:numPr>
          <w:ilvl w:val="0"/>
          <w:numId w:val="61"/>
        </w:numPr>
        <w:ind w:left="567" w:hanging="567"/>
        <w:jc w:val="both"/>
        <w:rPr>
          <w:rFonts w:cs="Arial"/>
          <w:b/>
          <w:szCs w:val="24"/>
          <w:u w:val="single"/>
          <w:lang w:val="en-US"/>
        </w:rPr>
      </w:pPr>
      <w:r>
        <w:rPr>
          <w:rFonts w:cs="Arial"/>
          <w:szCs w:val="24"/>
          <w:lang w:val="en-US"/>
        </w:rPr>
        <w:t xml:space="preserve">The following savings in </w:t>
      </w:r>
      <w:r w:rsidR="000F6980">
        <w:rPr>
          <w:rFonts w:cs="Arial"/>
          <w:szCs w:val="24"/>
          <w:lang w:val="en-US"/>
        </w:rPr>
        <w:t>Resources</w:t>
      </w:r>
      <w:r>
        <w:rPr>
          <w:rFonts w:cs="Arial"/>
          <w:szCs w:val="24"/>
          <w:lang w:val="en-US"/>
        </w:rPr>
        <w:t xml:space="preserve"> directorate have also been reclassified as follows:</w:t>
      </w:r>
    </w:p>
    <w:p w14:paraId="774F1B33" w14:textId="77777777" w:rsidR="002529E2" w:rsidRPr="00825AC5" w:rsidRDefault="002529E2" w:rsidP="00825AC5">
      <w:pPr>
        <w:pStyle w:val="ListParagraph"/>
        <w:rPr>
          <w:rFonts w:cs="Arial"/>
          <w:b/>
          <w:szCs w:val="24"/>
          <w:u w:val="single"/>
          <w:lang w:val="en-US"/>
        </w:rPr>
      </w:pPr>
    </w:p>
    <w:p w14:paraId="5F91360E" w14:textId="51D3AA53" w:rsidR="002529E2" w:rsidRPr="007837B8" w:rsidRDefault="00B52BE4" w:rsidP="00825AC5">
      <w:pPr>
        <w:pStyle w:val="ListParagraph"/>
        <w:numPr>
          <w:ilvl w:val="0"/>
          <w:numId w:val="63"/>
        </w:numPr>
        <w:ind w:left="567" w:hanging="283"/>
        <w:jc w:val="both"/>
        <w:rPr>
          <w:rFonts w:cs="Arial"/>
          <w:b/>
          <w:szCs w:val="24"/>
          <w:u w:val="single"/>
          <w:lang w:val="en-US"/>
        </w:rPr>
      </w:pPr>
      <w:r>
        <w:rPr>
          <w:rFonts w:cs="Arial"/>
          <w:szCs w:val="24"/>
        </w:rPr>
        <w:lastRenderedPageBreak/>
        <w:t>The r</w:t>
      </w:r>
      <w:r w:rsidR="002529E2" w:rsidRPr="007837B8">
        <w:rPr>
          <w:rFonts w:cs="Arial"/>
          <w:szCs w:val="24"/>
        </w:rPr>
        <w:t xml:space="preserve">eview of Postal Process savings reference </w:t>
      </w:r>
      <w:r>
        <w:rPr>
          <w:rFonts w:cs="Arial"/>
          <w:szCs w:val="24"/>
        </w:rPr>
        <w:t>(</w:t>
      </w:r>
      <w:r w:rsidR="002529E2" w:rsidRPr="007837B8">
        <w:rPr>
          <w:rFonts w:cs="Arial"/>
          <w:szCs w:val="24"/>
        </w:rPr>
        <w:t>Res 18.19</w:t>
      </w:r>
      <w:r w:rsidR="002529E2">
        <w:rPr>
          <w:rFonts w:cs="Arial"/>
          <w:szCs w:val="24"/>
        </w:rPr>
        <w:t>-</w:t>
      </w:r>
      <w:r w:rsidR="002529E2" w:rsidRPr="007837B8">
        <w:rPr>
          <w:rFonts w:cs="Arial"/>
          <w:szCs w:val="24"/>
        </w:rPr>
        <w:t>01</w:t>
      </w:r>
      <w:r w:rsidR="002529E2">
        <w:rPr>
          <w:rFonts w:cs="Arial"/>
          <w:szCs w:val="24"/>
        </w:rPr>
        <w:t xml:space="preserve"> £30k</w:t>
      </w:r>
      <w:r>
        <w:rPr>
          <w:rFonts w:cs="Arial"/>
          <w:szCs w:val="24"/>
        </w:rPr>
        <w:t>)</w:t>
      </w:r>
      <w:r w:rsidR="002529E2" w:rsidRPr="007837B8">
        <w:rPr>
          <w:rFonts w:cs="Arial"/>
          <w:szCs w:val="24"/>
        </w:rPr>
        <w:t xml:space="preserve"> ha</w:t>
      </w:r>
      <w:r w:rsidR="002529E2">
        <w:rPr>
          <w:rFonts w:cs="Arial"/>
          <w:szCs w:val="24"/>
        </w:rPr>
        <w:t>ve</w:t>
      </w:r>
      <w:r w:rsidR="002529E2" w:rsidRPr="007837B8">
        <w:rPr>
          <w:rFonts w:cs="Arial"/>
          <w:szCs w:val="24"/>
        </w:rPr>
        <w:t xml:space="preserve"> been reclassified </w:t>
      </w:r>
      <w:r w:rsidR="002529E2">
        <w:rPr>
          <w:rFonts w:cs="Arial"/>
          <w:szCs w:val="24"/>
        </w:rPr>
        <w:t>as</w:t>
      </w:r>
      <w:r w:rsidR="002529E2" w:rsidRPr="007837B8">
        <w:rPr>
          <w:rFonts w:cs="Arial"/>
          <w:szCs w:val="24"/>
        </w:rPr>
        <w:t xml:space="preserve"> green</w:t>
      </w:r>
      <w:r w:rsidR="002529E2">
        <w:rPr>
          <w:rFonts w:cs="Arial"/>
          <w:szCs w:val="24"/>
        </w:rPr>
        <w:t xml:space="preserve"> from amber</w:t>
      </w:r>
      <w:r w:rsidR="0047663D">
        <w:rPr>
          <w:rFonts w:cs="Arial"/>
          <w:szCs w:val="24"/>
        </w:rPr>
        <w:t>, to reflect</w:t>
      </w:r>
      <w:r w:rsidR="002529E2">
        <w:rPr>
          <w:rFonts w:cs="Arial"/>
          <w:szCs w:val="24"/>
        </w:rPr>
        <w:t xml:space="preserve"> </w:t>
      </w:r>
      <w:r w:rsidR="002529E2" w:rsidRPr="007837B8">
        <w:rPr>
          <w:rFonts w:cs="Arial"/>
          <w:szCs w:val="24"/>
        </w:rPr>
        <w:t xml:space="preserve">the achievement of this </w:t>
      </w:r>
      <w:r w:rsidR="002529E2">
        <w:rPr>
          <w:rFonts w:cs="Arial"/>
          <w:szCs w:val="24"/>
        </w:rPr>
        <w:t xml:space="preserve">saving </w:t>
      </w:r>
      <w:r w:rsidR="000F6980">
        <w:rPr>
          <w:rFonts w:cs="Arial"/>
          <w:szCs w:val="24"/>
        </w:rPr>
        <w:t>being</w:t>
      </w:r>
      <w:r w:rsidR="0047663D">
        <w:rPr>
          <w:rFonts w:cs="Arial"/>
          <w:szCs w:val="24"/>
        </w:rPr>
        <w:t xml:space="preserve"> on</w:t>
      </w:r>
      <w:r w:rsidR="002529E2" w:rsidRPr="007837B8">
        <w:rPr>
          <w:rFonts w:cs="Arial"/>
          <w:szCs w:val="24"/>
        </w:rPr>
        <w:t xml:space="preserve"> track.</w:t>
      </w:r>
    </w:p>
    <w:p w14:paraId="60D3A454" w14:textId="77777777" w:rsidR="002529E2" w:rsidRPr="007837B8" w:rsidRDefault="002529E2" w:rsidP="002529E2">
      <w:pPr>
        <w:pStyle w:val="ListParagraph"/>
        <w:jc w:val="both"/>
        <w:rPr>
          <w:rFonts w:cs="Arial"/>
          <w:b/>
          <w:szCs w:val="24"/>
          <w:u w:val="single"/>
          <w:lang w:val="en-US"/>
        </w:rPr>
      </w:pPr>
    </w:p>
    <w:p w14:paraId="32542446" w14:textId="0817D9C7" w:rsidR="002529E2" w:rsidRPr="007837B8" w:rsidRDefault="002529E2" w:rsidP="00825AC5">
      <w:pPr>
        <w:pStyle w:val="ListParagraph"/>
        <w:numPr>
          <w:ilvl w:val="0"/>
          <w:numId w:val="63"/>
        </w:numPr>
        <w:ind w:left="567" w:hanging="283"/>
        <w:jc w:val="both"/>
        <w:rPr>
          <w:rFonts w:cs="Arial"/>
          <w:b/>
          <w:szCs w:val="24"/>
          <w:u w:val="single"/>
          <w:lang w:val="en-US"/>
        </w:rPr>
      </w:pPr>
      <w:r>
        <w:rPr>
          <w:rFonts w:cs="Arial"/>
          <w:szCs w:val="24"/>
          <w:lang w:val="en-US"/>
        </w:rPr>
        <w:t xml:space="preserve">Reduction in Customer Channels savings reference </w:t>
      </w:r>
      <w:r w:rsidR="00B52BE4">
        <w:rPr>
          <w:rFonts w:cs="Arial"/>
          <w:szCs w:val="24"/>
          <w:lang w:val="en-US"/>
        </w:rPr>
        <w:t>(</w:t>
      </w:r>
      <w:r>
        <w:rPr>
          <w:rFonts w:cs="Arial"/>
          <w:szCs w:val="24"/>
          <w:lang w:val="en-US"/>
        </w:rPr>
        <w:t>Res</w:t>
      </w:r>
      <w:r w:rsidR="00B52BE4">
        <w:rPr>
          <w:rFonts w:cs="Arial"/>
          <w:szCs w:val="24"/>
          <w:lang w:val="en-US"/>
        </w:rPr>
        <w:t xml:space="preserve"> 2019-20 S1-4 </w:t>
      </w:r>
      <w:r>
        <w:rPr>
          <w:rFonts w:cs="Arial"/>
          <w:szCs w:val="24"/>
          <w:lang w:val="en-US"/>
        </w:rPr>
        <w:t>£78k</w:t>
      </w:r>
      <w:r w:rsidR="00B52BE4">
        <w:rPr>
          <w:rFonts w:cs="Arial"/>
          <w:szCs w:val="24"/>
          <w:lang w:val="en-US"/>
        </w:rPr>
        <w:t>)</w:t>
      </w:r>
      <w:r>
        <w:rPr>
          <w:rFonts w:cs="Arial"/>
          <w:szCs w:val="24"/>
          <w:lang w:val="en-US"/>
        </w:rPr>
        <w:t xml:space="preserve"> </w:t>
      </w:r>
      <w:r w:rsidR="00B52BE4">
        <w:rPr>
          <w:rFonts w:cs="Arial"/>
          <w:szCs w:val="24"/>
          <w:lang w:val="en-US"/>
        </w:rPr>
        <w:t>have</w:t>
      </w:r>
      <w:r>
        <w:rPr>
          <w:rFonts w:cs="Arial"/>
          <w:szCs w:val="24"/>
          <w:lang w:val="en-US"/>
        </w:rPr>
        <w:t xml:space="preserve"> been reclassified as amber from green. £50k of the total savings which is allocated to public realm telephone lines closure will be delayed to next year due to management capacity issues at the depot.</w:t>
      </w:r>
    </w:p>
    <w:p w14:paraId="0A560636" w14:textId="77777777" w:rsidR="00BC6EAB" w:rsidRPr="00A81783" w:rsidRDefault="00BC6EAB" w:rsidP="00825AC5">
      <w:pPr>
        <w:pStyle w:val="ListParagraph"/>
        <w:rPr>
          <w:rFonts w:cs="Arial"/>
          <w:szCs w:val="24"/>
          <w:lang w:val="en-US"/>
        </w:rPr>
      </w:pPr>
    </w:p>
    <w:p w14:paraId="39D6BF0B" w14:textId="77777777" w:rsidR="00F3141F" w:rsidRPr="00825AC5" w:rsidRDefault="00F3141F" w:rsidP="00825AC5">
      <w:pPr>
        <w:pStyle w:val="ListParagraph"/>
        <w:rPr>
          <w:rFonts w:cs="Arial"/>
          <w:b/>
          <w:bCs/>
          <w:szCs w:val="24"/>
          <w:u w:val="single"/>
        </w:rPr>
      </w:pPr>
      <w:r w:rsidRPr="00825AC5">
        <w:rPr>
          <w:rFonts w:cs="Arial"/>
          <w:b/>
          <w:bCs/>
          <w:szCs w:val="24"/>
          <w:u w:val="single"/>
        </w:rPr>
        <w:t>Housing Revenue Account</w:t>
      </w:r>
    </w:p>
    <w:p w14:paraId="3D41ED6F" w14:textId="67471B78" w:rsidR="0034477A" w:rsidRDefault="0034477A" w:rsidP="009373FE">
      <w:pPr>
        <w:pStyle w:val="ListParagraph"/>
        <w:numPr>
          <w:ilvl w:val="1"/>
          <w:numId w:val="68"/>
        </w:numPr>
        <w:ind w:left="567" w:hanging="567"/>
        <w:jc w:val="both"/>
        <w:rPr>
          <w:rFonts w:cs="Arial"/>
          <w:szCs w:val="24"/>
          <w:lang w:val="en-US"/>
        </w:rPr>
      </w:pPr>
      <w:r w:rsidRPr="009373FE">
        <w:rPr>
          <w:rFonts w:cs="Arial"/>
          <w:szCs w:val="24"/>
          <w:lang w:val="en-US"/>
        </w:rPr>
        <w:t>As at Q</w:t>
      </w:r>
      <w:r w:rsidR="005842EB" w:rsidRPr="009373FE">
        <w:rPr>
          <w:rFonts w:cs="Arial"/>
          <w:szCs w:val="24"/>
          <w:lang w:val="en-US"/>
        </w:rPr>
        <w:t xml:space="preserve">uarter </w:t>
      </w:r>
      <w:r w:rsidRPr="009373FE">
        <w:rPr>
          <w:rFonts w:cs="Arial"/>
          <w:szCs w:val="24"/>
          <w:lang w:val="en-US"/>
        </w:rPr>
        <w:t xml:space="preserve">2, HRA forecasts a balanced positon </w:t>
      </w:r>
      <w:r w:rsidR="005842EB" w:rsidRPr="009373FE">
        <w:rPr>
          <w:rFonts w:cs="Arial"/>
          <w:szCs w:val="24"/>
          <w:lang w:val="en-US"/>
        </w:rPr>
        <w:t xml:space="preserve">which is </w:t>
      </w:r>
      <w:r w:rsidR="006E1B96" w:rsidRPr="009373FE">
        <w:rPr>
          <w:rFonts w:cs="Arial"/>
          <w:szCs w:val="24"/>
          <w:lang w:val="en-US"/>
        </w:rPr>
        <w:t>in line</w:t>
      </w:r>
      <w:r w:rsidR="005842EB" w:rsidRPr="009373FE">
        <w:rPr>
          <w:rFonts w:cs="Arial"/>
          <w:szCs w:val="24"/>
          <w:lang w:val="en-US"/>
        </w:rPr>
        <w:t xml:space="preserve"> with what was reported in Quarter 1</w:t>
      </w:r>
      <w:r w:rsidRPr="009373FE">
        <w:rPr>
          <w:rFonts w:cs="Arial"/>
          <w:szCs w:val="24"/>
          <w:lang w:val="en-US"/>
        </w:rPr>
        <w:t xml:space="preserve">. Pressures on repairs are offset by underspends on the Council house building </w:t>
      </w:r>
      <w:proofErr w:type="spellStart"/>
      <w:r w:rsidRPr="009373FE">
        <w:rPr>
          <w:rFonts w:cs="Arial"/>
          <w:szCs w:val="24"/>
          <w:lang w:val="en-US"/>
        </w:rPr>
        <w:t>programme</w:t>
      </w:r>
      <w:proofErr w:type="spellEnd"/>
      <w:r w:rsidRPr="009373FE">
        <w:rPr>
          <w:rFonts w:cs="Arial"/>
          <w:szCs w:val="24"/>
          <w:lang w:val="en-US"/>
        </w:rPr>
        <w:t xml:space="preserve"> as a result of more costs becoming eligible for </w:t>
      </w:r>
      <w:proofErr w:type="spellStart"/>
      <w:r w:rsidRPr="009373FE">
        <w:rPr>
          <w:rFonts w:cs="Arial"/>
          <w:szCs w:val="24"/>
          <w:lang w:val="en-US"/>
        </w:rPr>
        <w:t>capitalisation</w:t>
      </w:r>
      <w:proofErr w:type="spellEnd"/>
      <w:r w:rsidRPr="009373FE">
        <w:rPr>
          <w:rFonts w:cs="Arial"/>
          <w:szCs w:val="24"/>
          <w:lang w:val="en-US"/>
        </w:rPr>
        <w:t xml:space="preserve">, utilities and other costs. It has been assumed the management restructure will be in place </w:t>
      </w:r>
      <w:r w:rsidR="003745F4" w:rsidRPr="009373FE">
        <w:rPr>
          <w:rFonts w:cs="Arial"/>
          <w:szCs w:val="24"/>
          <w:lang w:val="en-US"/>
        </w:rPr>
        <w:t xml:space="preserve">by </w:t>
      </w:r>
      <w:r w:rsidRPr="009373FE">
        <w:rPr>
          <w:rFonts w:cs="Arial"/>
          <w:szCs w:val="24"/>
          <w:lang w:val="en-US"/>
        </w:rPr>
        <w:t xml:space="preserve">1st November 2019 as a result of service reviews aimed at achieving permanent revenue cost reductions of £1.9m by March 2021 which are currently on track. </w:t>
      </w:r>
    </w:p>
    <w:p w14:paraId="5397A411" w14:textId="77777777" w:rsidR="008B24F2" w:rsidRDefault="008B24F2" w:rsidP="009373FE">
      <w:pPr>
        <w:pStyle w:val="ListParagraph"/>
        <w:ind w:left="567"/>
        <w:jc w:val="both"/>
        <w:rPr>
          <w:rFonts w:cs="Arial"/>
          <w:szCs w:val="24"/>
          <w:lang w:val="en-US"/>
        </w:rPr>
      </w:pPr>
    </w:p>
    <w:p w14:paraId="0D980277" w14:textId="2CC8D04E" w:rsidR="008B24F2" w:rsidRDefault="008B24F2" w:rsidP="009373FE">
      <w:pPr>
        <w:pStyle w:val="ListParagraph"/>
        <w:numPr>
          <w:ilvl w:val="1"/>
          <w:numId w:val="68"/>
        </w:numPr>
        <w:ind w:left="567" w:hanging="567"/>
        <w:jc w:val="both"/>
        <w:rPr>
          <w:rFonts w:cs="Arial"/>
          <w:szCs w:val="24"/>
          <w:lang w:val="en-US"/>
        </w:rPr>
      </w:pPr>
      <w:r w:rsidRPr="008B24F2">
        <w:rPr>
          <w:rFonts w:cs="Arial"/>
          <w:szCs w:val="24"/>
          <w:lang w:val="en-US"/>
        </w:rPr>
        <w:t xml:space="preserve">The impact of the four years statutory rent reductions, of which 2019/20 is the final year, combined with the new Housing IT system and Council's house building </w:t>
      </w:r>
      <w:proofErr w:type="spellStart"/>
      <w:r w:rsidRPr="008B24F2">
        <w:rPr>
          <w:rFonts w:cs="Arial"/>
          <w:szCs w:val="24"/>
          <w:lang w:val="en-US"/>
        </w:rPr>
        <w:t>programme</w:t>
      </w:r>
      <w:proofErr w:type="spellEnd"/>
      <w:r w:rsidRPr="008B24F2">
        <w:rPr>
          <w:rFonts w:cs="Arial"/>
          <w:szCs w:val="24"/>
          <w:lang w:val="en-US"/>
        </w:rPr>
        <w:t xml:space="preserve"> to accord with the Mayor of London's Building Council Houses for Londoners' (</w:t>
      </w:r>
      <w:proofErr w:type="spellStart"/>
      <w:r w:rsidRPr="008B24F2">
        <w:rPr>
          <w:rFonts w:cs="Arial"/>
          <w:szCs w:val="24"/>
          <w:lang w:val="en-US"/>
        </w:rPr>
        <w:t>BCHfL</w:t>
      </w:r>
      <w:proofErr w:type="spellEnd"/>
      <w:r w:rsidRPr="008B24F2">
        <w:rPr>
          <w:rFonts w:cs="Arial"/>
          <w:szCs w:val="24"/>
          <w:lang w:val="en-US"/>
        </w:rPr>
        <w:t xml:space="preserve">) </w:t>
      </w:r>
      <w:proofErr w:type="spellStart"/>
      <w:r w:rsidRPr="008B24F2">
        <w:rPr>
          <w:rFonts w:cs="Arial"/>
          <w:szCs w:val="24"/>
          <w:lang w:val="en-US"/>
        </w:rPr>
        <w:t>programme</w:t>
      </w:r>
      <w:proofErr w:type="spellEnd"/>
      <w:r w:rsidRPr="008B24F2">
        <w:rPr>
          <w:rFonts w:cs="Arial"/>
          <w:szCs w:val="24"/>
          <w:lang w:val="en-US"/>
        </w:rPr>
        <w:t>, necessitates continual review of revenue and capital expenditure</w:t>
      </w:r>
      <w:r>
        <w:rPr>
          <w:rFonts w:cs="Arial"/>
          <w:szCs w:val="24"/>
          <w:lang w:val="en-US"/>
        </w:rPr>
        <w:t>.</w:t>
      </w:r>
    </w:p>
    <w:p w14:paraId="2EDB4FDD" w14:textId="77777777" w:rsidR="008B24F2" w:rsidRPr="009373FE" w:rsidRDefault="008B24F2" w:rsidP="009373FE">
      <w:pPr>
        <w:pStyle w:val="ListParagraph"/>
        <w:rPr>
          <w:rFonts w:cs="Arial"/>
          <w:szCs w:val="24"/>
          <w:lang w:val="en-US"/>
        </w:rPr>
      </w:pPr>
    </w:p>
    <w:p w14:paraId="357D8E4C" w14:textId="049497FE" w:rsidR="008B24F2" w:rsidRPr="009373FE" w:rsidRDefault="008B24F2" w:rsidP="009373FE">
      <w:pPr>
        <w:pStyle w:val="ListParagraph"/>
        <w:numPr>
          <w:ilvl w:val="1"/>
          <w:numId w:val="68"/>
        </w:numPr>
        <w:ind w:left="567" w:hanging="567"/>
        <w:jc w:val="both"/>
        <w:rPr>
          <w:rFonts w:cs="Arial"/>
          <w:szCs w:val="24"/>
          <w:lang w:val="en-US"/>
        </w:rPr>
      </w:pPr>
      <w:r w:rsidRPr="008B24F2">
        <w:rPr>
          <w:rFonts w:cs="Arial"/>
          <w:szCs w:val="24"/>
          <w:lang w:val="en-US"/>
        </w:rPr>
        <w:t xml:space="preserve">This will ensure adequate reserves are in place to support the </w:t>
      </w:r>
      <w:proofErr w:type="spellStart"/>
      <w:r w:rsidRPr="008B24F2">
        <w:rPr>
          <w:rFonts w:cs="Arial"/>
          <w:szCs w:val="24"/>
          <w:lang w:val="en-US"/>
        </w:rPr>
        <w:t>BCHfL</w:t>
      </w:r>
      <w:proofErr w:type="spellEnd"/>
      <w:r w:rsidRPr="008B24F2">
        <w:rPr>
          <w:rFonts w:cs="Arial"/>
          <w:szCs w:val="24"/>
          <w:lang w:val="en-US"/>
        </w:rPr>
        <w:t xml:space="preserve"> without which the Council's HRA would become unviable. The table below summaries the forecast position on HRA revenue account at Quarter 2</w:t>
      </w:r>
      <w:r>
        <w:rPr>
          <w:rFonts w:cs="Arial"/>
          <w:szCs w:val="24"/>
          <w:lang w:val="en-US"/>
        </w:rPr>
        <w:t>:</w:t>
      </w:r>
    </w:p>
    <w:p w14:paraId="253E868E" w14:textId="77777777" w:rsidR="0034477A" w:rsidRDefault="0034477A">
      <w:pPr>
        <w:jc w:val="both"/>
        <w:rPr>
          <w:rFonts w:cs="Arial"/>
          <w:szCs w:val="24"/>
          <w:lang w:val="en-US"/>
        </w:rPr>
      </w:pPr>
    </w:p>
    <w:p w14:paraId="600A31D3" w14:textId="77777777" w:rsidR="004B39DE" w:rsidRPr="0034477A" w:rsidRDefault="004B39DE">
      <w:pPr>
        <w:jc w:val="both"/>
        <w:rPr>
          <w:rFonts w:cs="Arial"/>
          <w:szCs w:val="24"/>
          <w:lang w:val="en-US"/>
        </w:rPr>
      </w:pPr>
    </w:p>
    <w:p w14:paraId="02154466" w14:textId="77777777" w:rsidR="0045548A" w:rsidRPr="000C154C" w:rsidRDefault="00A53EAA">
      <w:pPr>
        <w:tabs>
          <w:tab w:val="left" w:pos="6946"/>
        </w:tabs>
        <w:ind w:left="567" w:right="3260"/>
        <w:jc w:val="both"/>
        <w:rPr>
          <w:rFonts w:cs="Arial"/>
          <w:b/>
          <w:bCs/>
          <w:szCs w:val="24"/>
          <w:u w:val="single"/>
        </w:rPr>
      </w:pPr>
      <w:r w:rsidRPr="000C154C">
        <w:rPr>
          <w:rFonts w:cs="Arial"/>
          <w:b/>
          <w:bCs/>
          <w:szCs w:val="24"/>
          <w:u w:val="single"/>
        </w:rPr>
        <w:t>T</w:t>
      </w:r>
      <w:r w:rsidR="008D011A" w:rsidRPr="000C154C">
        <w:rPr>
          <w:rFonts w:cs="Arial"/>
          <w:b/>
          <w:bCs/>
          <w:szCs w:val="24"/>
          <w:u w:val="single"/>
        </w:rPr>
        <w:t>able 8</w:t>
      </w:r>
      <w:r w:rsidRPr="000C154C">
        <w:rPr>
          <w:rFonts w:cs="Arial"/>
          <w:b/>
          <w:bCs/>
          <w:szCs w:val="24"/>
          <w:u w:val="single"/>
        </w:rPr>
        <w:t>: Housing Revenue Account Variance</w:t>
      </w:r>
    </w:p>
    <w:tbl>
      <w:tblPr>
        <w:tblW w:w="7088" w:type="dxa"/>
        <w:tblInd w:w="675" w:type="dxa"/>
        <w:tblLayout w:type="fixed"/>
        <w:tblLook w:val="04A0" w:firstRow="1" w:lastRow="0" w:firstColumn="1" w:lastColumn="0" w:noHBand="0" w:noVBand="1"/>
      </w:tblPr>
      <w:tblGrid>
        <w:gridCol w:w="2132"/>
        <w:gridCol w:w="1179"/>
        <w:gridCol w:w="1043"/>
        <w:gridCol w:w="1316"/>
        <w:gridCol w:w="1418"/>
      </w:tblGrid>
      <w:tr w:rsidR="007D35DB" w:rsidRPr="000C154C" w14:paraId="43D0359A" w14:textId="77777777" w:rsidTr="00825AC5">
        <w:trPr>
          <w:trHeight w:val="482"/>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C31D" w14:textId="77777777" w:rsidR="007D35DB" w:rsidRPr="000C154C" w:rsidRDefault="007D35DB" w:rsidP="00825AC5">
            <w:pPr>
              <w:jc w:val="both"/>
              <w:rPr>
                <w:rFonts w:cs="Arial"/>
                <w:b/>
                <w:bCs/>
                <w:color w:val="000000"/>
                <w:szCs w:val="24"/>
                <w:lang w:eastAsia="en-GB"/>
              </w:rPr>
            </w:pPr>
            <w:r w:rsidRPr="000C154C">
              <w:rPr>
                <w:rFonts w:cs="Arial"/>
                <w:b/>
                <w:bCs/>
                <w:color w:val="000000"/>
                <w:szCs w:val="24"/>
                <w:lang w:eastAsia="en-GB"/>
              </w:rPr>
              <w:t>HRA revenue balances £'000</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5EE1E58F" w14:textId="77777777" w:rsidR="007D35DB" w:rsidRPr="000C154C" w:rsidRDefault="007D35DB" w:rsidP="00825AC5">
            <w:pPr>
              <w:jc w:val="both"/>
              <w:rPr>
                <w:rFonts w:cs="Arial"/>
                <w:b/>
                <w:bCs/>
                <w:color w:val="000000"/>
                <w:szCs w:val="24"/>
                <w:lang w:eastAsia="en-GB"/>
              </w:rPr>
            </w:pPr>
            <w:r w:rsidRPr="000C154C">
              <w:rPr>
                <w:rFonts w:cs="Arial"/>
                <w:b/>
                <w:bCs/>
                <w:color w:val="000000"/>
                <w:szCs w:val="24"/>
                <w:lang w:eastAsia="en-GB"/>
              </w:rPr>
              <w:t>Outturn 2018-19</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B30775E" w14:textId="77777777" w:rsidR="007D35DB" w:rsidRPr="000C154C" w:rsidRDefault="007D35DB" w:rsidP="00825AC5">
            <w:pPr>
              <w:jc w:val="both"/>
              <w:rPr>
                <w:rFonts w:cs="Arial"/>
                <w:b/>
                <w:bCs/>
                <w:color w:val="000000"/>
                <w:szCs w:val="24"/>
                <w:lang w:eastAsia="en-GB"/>
              </w:rPr>
            </w:pPr>
            <w:r w:rsidRPr="000C154C">
              <w:rPr>
                <w:rFonts w:cs="Arial"/>
                <w:b/>
                <w:bCs/>
                <w:color w:val="000000"/>
                <w:szCs w:val="24"/>
                <w:lang w:eastAsia="en-GB"/>
              </w:rPr>
              <w:t>Budget</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98CA98D" w14:textId="4873E529" w:rsidR="007D35DB" w:rsidRPr="000C154C" w:rsidRDefault="007D35DB" w:rsidP="00825AC5">
            <w:pPr>
              <w:jc w:val="both"/>
              <w:rPr>
                <w:rFonts w:cs="Arial"/>
                <w:b/>
                <w:bCs/>
                <w:color w:val="000000"/>
                <w:szCs w:val="24"/>
                <w:lang w:eastAsia="en-GB"/>
              </w:rPr>
            </w:pPr>
            <w:r w:rsidRPr="000C154C">
              <w:rPr>
                <w:rFonts w:cs="Arial"/>
                <w:b/>
                <w:bCs/>
                <w:color w:val="000000"/>
                <w:szCs w:val="24"/>
                <w:lang w:eastAsia="en-GB"/>
              </w:rPr>
              <w:t>Forecast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5173B2" w14:textId="77777777" w:rsidR="007D35DB" w:rsidRPr="000C154C" w:rsidRDefault="007D35DB" w:rsidP="00825AC5">
            <w:pPr>
              <w:jc w:val="both"/>
              <w:rPr>
                <w:rFonts w:cs="Arial"/>
                <w:b/>
                <w:bCs/>
                <w:color w:val="000000"/>
                <w:szCs w:val="24"/>
                <w:lang w:eastAsia="en-GB"/>
              </w:rPr>
            </w:pPr>
            <w:r w:rsidRPr="000C154C">
              <w:rPr>
                <w:rFonts w:cs="Arial"/>
                <w:b/>
                <w:bCs/>
                <w:color w:val="000000"/>
                <w:szCs w:val="24"/>
                <w:lang w:eastAsia="en-GB"/>
              </w:rPr>
              <w:t>Variance</w:t>
            </w:r>
          </w:p>
        </w:tc>
      </w:tr>
      <w:tr w:rsidR="007D35DB" w:rsidRPr="000C154C" w14:paraId="12E8DD85" w14:textId="77777777" w:rsidTr="00825AC5">
        <w:trPr>
          <w:trHeight w:val="468"/>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5A528CB"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Balance b/</w:t>
            </w:r>
            <w:proofErr w:type="spellStart"/>
            <w:r w:rsidRPr="000C154C">
              <w:rPr>
                <w:rFonts w:cs="Arial"/>
                <w:color w:val="000000"/>
                <w:szCs w:val="24"/>
                <w:lang w:eastAsia="en-GB"/>
              </w:rPr>
              <w:t>fwd</w:t>
            </w:r>
            <w:proofErr w:type="spellEnd"/>
          </w:p>
        </w:tc>
        <w:tc>
          <w:tcPr>
            <w:tcW w:w="1179" w:type="dxa"/>
            <w:tcBorders>
              <w:top w:val="nil"/>
              <w:left w:val="nil"/>
              <w:bottom w:val="single" w:sz="4" w:space="0" w:color="auto"/>
              <w:right w:val="single" w:sz="4" w:space="0" w:color="auto"/>
            </w:tcBorders>
            <w:shd w:val="clear" w:color="auto" w:fill="auto"/>
            <w:vAlign w:val="center"/>
            <w:hideMark/>
          </w:tcPr>
          <w:p w14:paraId="4C1AB109" w14:textId="212B4371"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7,474</w:t>
            </w:r>
            <w:r>
              <w:rPr>
                <w:rFonts w:cs="Arial"/>
                <w:color w:val="000000"/>
                <w:szCs w:val="24"/>
                <w:lang w:eastAsia="en-GB"/>
              </w:rPr>
              <w:t>)</w:t>
            </w:r>
          </w:p>
        </w:tc>
        <w:tc>
          <w:tcPr>
            <w:tcW w:w="1043" w:type="dxa"/>
            <w:tcBorders>
              <w:top w:val="nil"/>
              <w:left w:val="nil"/>
              <w:bottom w:val="single" w:sz="4" w:space="0" w:color="auto"/>
              <w:right w:val="single" w:sz="4" w:space="0" w:color="auto"/>
            </w:tcBorders>
            <w:shd w:val="clear" w:color="auto" w:fill="auto"/>
            <w:vAlign w:val="center"/>
            <w:hideMark/>
          </w:tcPr>
          <w:p w14:paraId="37069670" w14:textId="13C70EF6"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5,173</w:t>
            </w:r>
            <w:r>
              <w:rPr>
                <w:rFonts w:cs="Arial"/>
                <w:color w:val="000000"/>
                <w:szCs w:val="24"/>
                <w:lang w:eastAsia="en-GB"/>
              </w:rPr>
              <w:t>)</w:t>
            </w:r>
          </w:p>
        </w:tc>
        <w:tc>
          <w:tcPr>
            <w:tcW w:w="1316" w:type="dxa"/>
            <w:tcBorders>
              <w:top w:val="nil"/>
              <w:left w:val="nil"/>
              <w:bottom w:val="single" w:sz="4" w:space="0" w:color="auto"/>
              <w:right w:val="single" w:sz="4" w:space="0" w:color="auto"/>
            </w:tcBorders>
            <w:shd w:val="clear" w:color="auto" w:fill="auto"/>
            <w:vAlign w:val="center"/>
            <w:hideMark/>
          </w:tcPr>
          <w:p w14:paraId="555F1246" w14:textId="56959CBA"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7,474</w:t>
            </w:r>
            <w:r>
              <w:rPr>
                <w:rFonts w:cs="Arial"/>
                <w:color w:val="000000"/>
                <w:szCs w:val="24"/>
                <w:lang w:eastAsia="en-GB"/>
              </w:rPr>
              <w:t>)</w:t>
            </w:r>
          </w:p>
        </w:tc>
        <w:tc>
          <w:tcPr>
            <w:tcW w:w="1418" w:type="dxa"/>
            <w:tcBorders>
              <w:top w:val="nil"/>
              <w:left w:val="nil"/>
              <w:bottom w:val="single" w:sz="4" w:space="0" w:color="auto"/>
              <w:right w:val="single" w:sz="4" w:space="0" w:color="auto"/>
            </w:tcBorders>
            <w:shd w:val="clear" w:color="auto" w:fill="auto"/>
            <w:vAlign w:val="center"/>
            <w:hideMark/>
          </w:tcPr>
          <w:p w14:paraId="3B4CF892" w14:textId="44AA6F9A"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2,301</w:t>
            </w:r>
            <w:r>
              <w:rPr>
                <w:rFonts w:cs="Arial"/>
                <w:color w:val="000000"/>
                <w:szCs w:val="24"/>
                <w:lang w:eastAsia="en-GB"/>
              </w:rPr>
              <w:t>)</w:t>
            </w:r>
          </w:p>
        </w:tc>
      </w:tr>
      <w:tr w:rsidR="007D35DB" w:rsidRPr="000C154C" w14:paraId="62E7746C" w14:textId="77777777" w:rsidTr="00825AC5">
        <w:trPr>
          <w:trHeight w:val="271"/>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0A87010D"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Net (surplus) deficit</w:t>
            </w:r>
          </w:p>
        </w:tc>
        <w:tc>
          <w:tcPr>
            <w:tcW w:w="1179" w:type="dxa"/>
            <w:tcBorders>
              <w:top w:val="nil"/>
              <w:left w:val="nil"/>
              <w:bottom w:val="single" w:sz="4" w:space="0" w:color="auto"/>
              <w:right w:val="single" w:sz="4" w:space="0" w:color="auto"/>
            </w:tcBorders>
            <w:shd w:val="clear" w:color="auto" w:fill="auto"/>
            <w:vAlign w:val="center"/>
            <w:hideMark/>
          </w:tcPr>
          <w:p w14:paraId="783FF901" w14:textId="59882D3A"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198</w:t>
            </w:r>
            <w:r>
              <w:rPr>
                <w:rFonts w:cs="Arial"/>
                <w:color w:val="000000"/>
                <w:szCs w:val="24"/>
                <w:lang w:eastAsia="en-GB"/>
              </w:rPr>
              <w:t>)</w:t>
            </w:r>
          </w:p>
        </w:tc>
        <w:tc>
          <w:tcPr>
            <w:tcW w:w="1043" w:type="dxa"/>
            <w:tcBorders>
              <w:top w:val="nil"/>
              <w:left w:val="nil"/>
              <w:bottom w:val="single" w:sz="4" w:space="0" w:color="auto"/>
              <w:right w:val="single" w:sz="4" w:space="0" w:color="auto"/>
            </w:tcBorders>
            <w:shd w:val="clear" w:color="auto" w:fill="auto"/>
            <w:vAlign w:val="center"/>
            <w:hideMark/>
          </w:tcPr>
          <w:p w14:paraId="49409ECA"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279</w:t>
            </w:r>
          </w:p>
        </w:tc>
        <w:tc>
          <w:tcPr>
            <w:tcW w:w="1316" w:type="dxa"/>
            <w:tcBorders>
              <w:top w:val="nil"/>
              <w:left w:val="nil"/>
              <w:bottom w:val="single" w:sz="4" w:space="0" w:color="auto"/>
              <w:right w:val="single" w:sz="4" w:space="0" w:color="auto"/>
            </w:tcBorders>
            <w:shd w:val="clear" w:color="auto" w:fill="auto"/>
            <w:vAlign w:val="center"/>
            <w:hideMark/>
          </w:tcPr>
          <w:p w14:paraId="787147C2" w14:textId="47D4EE66" w:rsidR="007D35DB" w:rsidRPr="000C154C" w:rsidRDefault="007D35DB" w:rsidP="00825AC5">
            <w:pPr>
              <w:jc w:val="both"/>
              <w:rPr>
                <w:rFonts w:cs="Arial"/>
                <w:color w:val="000000"/>
                <w:szCs w:val="24"/>
                <w:lang w:eastAsia="en-GB"/>
              </w:rPr>
            </w:pPr>
            <w:r w:rsidRPr="000C154C">
              <w:rPr>
                <w:rFonts w:cs="Arial"/>
                <w:color w:val="000000"/>
                <w:szCs w:val="24"/>
                <w:lang w:eastAsia="en-GB"/>
              </w:rPr>
              <w:t>172</w:t>
            </w:r>
          </w:p>
        </w:tc>
        <w:tc>
          <w:tcPr>
            <w:tcW w:w="1418" w:type="dxa"/>
            <w:tcBorders>
              <w:top w:val="nil"/>
              <w:left w:val="nil"/>
              <w:bottom w:val="single" w:sz="4" w:space="0" w:color="auto"/>
              <w:right w:val="single" w:sz="4" w:space="0" w:color="auto"/>
            </w:tcBorders>
            <w:shd w:val="clear" w:color="auto" w:fill="auto"/>
            <w:vAlign w:val="center"/>
            <w:hideMark/>
          </w:tcPr>
          <w:p w14:paraId="2CDAD9EF" w14:textId="4ECA88DC" w:rsidR="007D35DB" w:rsidRPr="000C154C" w:rsidRDefault="007D35DB" w:rsidP="00825AC5">
            <w:pPr>
              <w:jc w:val="both"/>
              <w:rPr>
                <w:rFonts w:cs="Arial"/>
                <w:color w:val="000000"/>
                <w:szCs w:val="24"/>
                <w:lang w:eastAsia="en-GB"/>
              </w:rPr>
            </w:pPr>
            <w:r w:rsidRPr="000C154C">
              <w:rPr>
                <w:rFonts w:cs="Arial"/>
                <w:color w:val="000000"/>
                <w:szCs w:val="24"/>
                <w:lang w:eastAsia="en-GB"/>
              </w:rPr>
              <w:t>107</w:t>
            </w:r>
          </w:p>
        </w:tc>
      </w:tr>
      <w:tr w:rsidR="007D35DB" w:rsidRPr="000C154C" w14:paraId="7B23C9F5" w14:textId="77777777" w:rsidTr="00825AC5">
        <w:trPr>
          <w:trHeight w:val="271"/>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46A41D4"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Transfer to/(from) reserves</w:t>
            </w:r>
          </w:p>
        </w:tc>
        <w:tc>
          <w:tcPr>
            <w:tcW w:w="1179" w:type="dxa"/>
            <w:tcBorders>
              <w:top w:val="nil"/>
              <w:left w:val="nil"/>
              <w:bottom w:val="single" w:sz="4" w:space="0" w:color="auto"/>
              <w:right w:val="single" w:sz="4" w:space="0" w:color="auto"/>
            </w:tcBorders>
            <w:shd w:val="clear" w:color="auto" w:fill="auto"/>
            <w:vAlign w:val="center"/>
            <w:hideMark/>
          </w:tcPr>
          <w:p w14:paraId="5B6C3FC0"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198</w:t>
            </w:r>
          </w:p>
        </w:tc>
        <w:tc>
          <w:tcPr>
            <w:tcW w:w="1043" w:type="dxa"/>
            <w:tcBorders>
              <w:top w:val="nil"/>
              <w:left w:val="nil"/>
              <w:bottom w:val="single" w:sz="4" w:space="0" w:color="auto"/>
              <w:right w:val="single" w:sz="4" w:space="0" w:color="auto"/>
            </w:tcBorders>
            <w:shd w:val="clear" w:color="auto" w:fill="auto"/>
            <w:vAlign w:val="center"/>
            <w:hideMark/>
          </w:tcPr>
          <w:p w14:paraId="62D68B81"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 </w:t>
            </w:r>
          </w:p>
        </w:tc>
        <w:tc>
          <w:tcPr>
            <w:tcW w:w="1316" w:type="dxa"/>
            <w:tcBorders>
              <w:top w:val="nil"/>
              <w:left w:val="nil"/>
              <w:bottom w:val="single" w:sz="4" w:space="0" w:color="auto"/>
              <w:right w:val="single" w:sz="4" w:space="0" w:color="auto"/>
            </w:tcBorders>
            <w:shd w:val="clear" w:color="auto" w:fill="auto"/>
            <w:vAlign w:val="center"/>
            <w:hideMark/>
          </w:tcPr>
          <w:p w14:paraId="730EC96B" w14:textId="4AF1368A" w:rsidR="007D35DB" w:rsidRPr="000C154C" w:rsidRDefault="007D35DB" w:rsidP="00825AC5">
            <w:pPr>
              <w:jc w:val="both"/>
              <w:rPr>
                <w:rFonts w:cs="Arial"/>
                <w:color w:val="000000"/>
                <w:szCs w:val="24"/>
                <w:lang w:eastAsia="en-GB"/>
              </w:rPr>
            </w:pPr>
            <w:r w:rsidRPr="000C154C">
              <w:rPr>
                <w:rFonts w:cs="Arial"/>
                <w:color w:val="000000"/>
                <w:szCs w:val="24"/>
                <w:lang w:eastAsia="en-GB"/>
              </w:rPr>
              <w:t>107</w:t>
            </w:r>
          </w:p>
        </w:tc>
        <w:tc>
          <w:tcPr>
            <w:tcW w:w="1418" w:type="dxa"/>
            <w:tcBorders>
              <w:top w:val="nil"/>
              <w:left w:val="nil"/>
              <w:bottom w:val="single" w:sz="4" w:space="0" w:color="auto"/>
              <w:right w:val="single" w:sz="4" w:space="0" w:color="auto"/>
            </w:tcBorders>
            <w:shd w:val="clear" w:color="auto" w:fill="auto"/>
            <w:vAlign w:val="center"/>
            <w:hideMark/>
          </w:tcPr>
          <w:p w14:paraId="195208AE" w14:textId="583BF272"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107</w:t>
            </w:r>
            <w:r>
              <w:rPr>
                <w:rFonts w:cs="Arial"/>
                <w:color w:val="000000"/>
                <w:szCs w:val="24"/>
                <w:lang w:eastAsia="en-GB"/>
              </w:rPr>
              <w:t>)</w:t>
            </w:r>
          </w:p>
        </w:tc>
      </w:tr>
      <w:tr w:rsidR="007D35DB" w:rsidRPr="0034477A" w14:paraId="507A97E3" w14:textId="77777777" w:rsidTr="00825AC5">
        <w:trPr>
          <w:trHeight w:val="4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707B889" w14:textId="77777777" w:rsidR="007D35DB" w:rsidRPr="000C154C" w:rsidRDefault="007D35DB" w:rsidP="00825AC5">
            <w:pPr>
              <w:jc w:val="both"/>
              <w:rPr>
                <w:rFonts w:cs="Arial"/>
                <w:color w:val="000000"/>
                <w:szCs w:val="24"/>
                <w:lang w:eastAsia="en-GB"/>
              </w:rPr>
            </w:pPr>
            <w:r w:rsidRPr="000C154C">
              <w:rPr>
                <w:rFonts w:cs="Arial"/>
                <w:color w:val="000000"/>
                <w:szCs w:val="24"/>
                <w:lang w:eastAsia="en-GB"/>
              </w:rPr>
              <w:t>Balance c/</w:t>
            </w:r>
            <w:proofErr w:type="spellStart"/>
            <w:r w:rsidRPr="000C154C">
              <w:rPr>
                <w:rFonts w:cs="Arial"/>
                <w:color w:val="000000"/>
                <w:szCs w:val="24"/>
                <w:lang w:eastAsia="en-GB"/>
              </w:rPr>
              <w:t>fwd</w:t>
            </w:r>
            <w:proofErr w:type="spellEnd"/>
          </w:p>
        </w:tc>
        <w:tc>
          <w:tcPr>
            <w:tcW w:w="1179" w:type="dxa"/>
            <w:tcBorders>
              <w:top w:val="nil"/>
              <w:left w:val="nil"/>
              <w:bottom w:val="single" w:sz="4" w:space="0" w:color="auto"/>
              <w:right w:val="single" w:sz="4" w:space="0" w:color="auto"/>
            </w:tcBorders>
            <w:shd w:val="clear" w:color="auto" w:fill="auto"/>
            <w:vAlign w:val="center"/>
            <w:hideMark/>
          </w:tcPr>
          <w:p w14:paraId="6E3F3569" w14:textId="0ED0DA3B"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7,474</w:t>
            </w:r>
            <w:r>
              <w:rPr>
                <w:rFonts w:cs="Arial"/>
                <w:color w:val="000000"/>
                <w:szCs w:val="24"/>
                <w:lang w:eastAsia="en-GB"/>
              </w:rPr>
              <w:t>)</w:t>
            </w:r>
          </w:p>
        </w:tc>
        <w:tc>
          <w:tcPr>
            <w:tcW w:w="1043" w:type="dxa"/>
            <w:tcBorders>
              <w:top w:val="nil"/>
              <w:left w:val="nil"/>
              <w:bottom w:val="single" w:sz="4" w:space="0" w:color="auto"/>
              <w:right w:val="single" w:sz="4" w:space="0" w:color="auto"/>
            </w:tcBorders>
            <w:shd w:val="clear" w:color="auto" w:fill="auto"/>
            <w:vAlign w:val="center"/>
            <w:hideMark/>
          </w:tcPr>
          <w:p w14:paraId="09F0EE97" w14:textId="7D50C29A"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4,894</w:t>
            </w:r>
            <w:r>
              <w:rPr>
                <w:rFonts w:cs="Arial"/>
                <w:color w:val="000000"/>
                <w:szCs w:val="24"/>
                <w:lang w:eastAsia="en-GB"/>
              </w:rPr>
              <w:t>)</w:t>
            </w:r>
          </w:p>
        </w:tc>
        <w:tc>
          <w:tcPr>
            <w:tcW w:w="1316" w:type="dxa"/>
            <w:tcBorders>
              <w:top w:val="nil"/>
              <w:left w:val="nil"/>
              <w:bottom w:val="single" w:sz="4" w:space="0" w:color="auto"/>
              <w:right w:val="single" w:sz="4" w:space="0" w:color="auto"/>
            </w:tcBorders>
            <w:shd w:val="clear" w:color="auto" w:fill="auto"/>
            <w:vAlign w:val="center"/>
            <w:hideMark/>
          </w:tcPr>
          <w:p w14:paraId="75537008" w14:textId="1E467E7D" w:rsidR="007D35DB" w:rsidRPr="000C154C"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7,195</w:t>
            </w:r>
            <w:r>
              <w:rPr>
                <w:rFonts w:cs="Arial"/>
                <w:color w:val="000000"/>
                <w:szCs w:val="24"/>
                <w:lang w:eastAsia="en-GB"/>
              </w:rPr>
              <w:t>)</w:t>
            </w:r>
          </w:p>
        </w:tc>
        <w:tc>
          <w:tcPr>
            <w:tcW w:w="1418" w:type="dxa"/>
            <w:tcBorders>
              <w:top w:val="nil"/>
              <w:left w:val="nil"/>
              <w:bottom w:val="single" w:sz="4" w:space="0" w:color="auto"/>
              <w:right w:val="single" w:sz="4" w:space="0" w:color="auto"/>
            </w:tcBorders>
            <w:shd w:val="clear" w:color="auto" w:fill="auto"/>
            <w:vAlign w:val="center"/>
            <w:hideMark/>
          </w:tcPr>
          <w:p w14:paraId="1CFDD254" w14:textId="116F5482" w:rsidR="007D35DB" w:rsidRPr="0034477A" w:rsidRDefault="005842EB" w:rsidP="00825AC5">
            <w:pPr>
              <w:jc w:val="both"/>
              <w:rPr>
                <w:rFonts w:cs="Arial"/>
                <w:color w:val="000000"/>
                <w:szCs w:val="24"/>
                <w:lang w:eastAsia="en-GB"/>
              </w:rPr>
            </w:pPr>
            <w:r>
              <w:rPr>
                <w:rFonts w:cs="Arial"/>
                <w:color w:val="000000"/>
                <w:szCs w:val="24"/>
                <w:lang w:eastAsia="en-GB"/>
              </w:rPr>
              <w:t>(</w:t>
            </w:r>
            <w:r w:rsidR="007D35DB" w:rsidRPr="000C154C">
              <w:rPr>
                <w:rFonts w:cs="Arial"/>
                <w:color w:val="000000"/>
                <w:szCs w:val="24"/>
                <w:lang w:eastAsia="en-GB"/>
              </w:rPr>
              <w:t>2,301</w:t>
            </w:r>
            <w:r>
              <w:rPr>
                <w:rFonts w:cs="Arial"/>
                <w:color w:val="000000"/>
                <w:szCs w:val="24"/>
                <w:lang w:eastAsia="en-GB"/>
              </w:rPr>
              <w:t>)</w:t>
            </w:r>
          </w:p>
        </w:tc>
      </w:tr>
    </w:tbl>
    <w:p w14:paraId="2B0365AA" w14:textId="66944E97" w:rsidR="00675F21" w:rsidRDefault="00675F21">
      <w:pPr>
        <w:tabs>
          <w:tab w:val="left" w:pos="6946"/>
        </w:tabs>
        <w:ind w:left="567" w:right="3260"/>
        <w:jc w:val="both"/>
        <w:rPr>
          <w:rFonts w:cs="Arial"/>
          <w:b/>
          <w:bCs/>
          <w:szCs w:val="24"/>
          <w:u w:val="single"/>
        </w:rPr>
      </w:pPr>
    </w:p>
    <w:p w14:paraId="53AA3B40" w14:textId="7709C38F" w:rsidR="008D7EB3" w:rsidRPr="007C0D59" w:rsidRDefault="000058C5">
      <w:pPr>
        <w:jc w:val="both"/>
        <w:rPr>
          <w:rFonts w:cs="Arial"/>
          <w:b/>
          <w:szCs w:val="24"/>
          <w:u w:val="single"/>
        </w:rPr>
      </w:pPr>
      <w:r w:rsidRPr="003634DA">
        <w:rPr>
          <w:rFonts w:cs="Arial"/>
          <w:b/>
          <w:szCs w:val="24"/>
        </w:rPr>
        <w:t xml:space="preserve">      </w:t>
      </w:r>
    </w:p>
    <w:p w14:paraId="44AFDC31" w14:textId="44EABE4B" w:rsidR="007E0106" w:rsidRPr="005178DB" w:rsidRDefault="00C57DF6">
      <w:pPr>
        <w:pStyle w:val="ListParagraph"/>
        <w:numPr>
          <w:ilvl w:val="0"/>
          <w:numId w:val="22"/>
        </w:numPr>
        <w:tabs>
          <w:tab w:val="left" w:pos="567"/>
        </w:tabs>
        <w:ind w:left="567" w:hanging="567"/>
        <w:jc w:val="both"/>
        <w:rPr>
          <w:rFonts w:cs="Arial"/>
          <w:b/>
          <w:szCs w:val="24"/>
          <w:u w:val="single"/>
        </w:rPr>
      </w:pPr>
      <w:r w:rsidRPr="007C0D59">
        <w:rPr>
          <w:rFonts w:cs="Arial"/>
          <w:b/>
          <w:szCs w:val="24"/>
        </w:rPr>
        <w:t xml:space="preserve"> </w:t>
      </w:r>
      <w:r w:rsidR="00F505C5" w:rsidRPr="007C0D59">
        <w:rPr>
          <w:rFonts w:cs="Arial"/>
          <w:b/>
          <w:szCs w:val="24"/>
        </w:rPr>
        <w:t xml:space="preserve"> </w:t>
      </w:r>
      <w:r w:rsidRPr="00292AEE">
        <w:rPr>
          <w:rFonts w:cs="Arial"/>
          <w:b/>
          <w:szCs w:val="24"/>
          <w:u w:val="single"/>
        </w:rPr>
        <w:t>C</w:t>
      </w:r>
      <w:r w:rsidR="00603BA2">
        <w:rPr>
          <w:rFonts w:cs="Arial"/>
          <w:b/>
          <w:szCs w:val="24"/>
          <w:u w:val="single"/>
        </w:rPr>
        <w:t>APITAL PROGRAMME</w:t>
      </w:r>
    </w:p>
    <w:p w14:paraId="1133C634" w14:textId="77777777" w:rsidR="00EB4B9A" w:rsidRPr="007C0D59" w:rsidRDefault="00EB4B9A">
      <w:pPr>
        <w:pStyle w:val="ListParagraph"/>
        <w:tabs>
          <w:tab w:val="left" w:pos="567"/>
        </w:tabs>
        <w:ind w:left="1211"/>
        <w:jc w:val="both"/>
        <w:rPr>
          <w:rFonts w:cs="Arial"/>
          <w:b/>
          <w:szCs w:val="24"/>
        </w:rPr>
      </w:pPr>
    </w:p>
    <w:p w14:paraId="299F2AC1" w14:textId="5B662E3C" w:rsidR="00C57DF6" w:rsidRPr="009E4B36" w:rsidRDefault="00BC0021">
      <w:pPr>
        <w:pStyle w:val="ListParagraph"/>
        <w:numPr>
          <w:ilvl w:val="0"/>
          <w:numId w:val="22"/>
        </w:numPr>
        <w:tabs>
          <w:tab w:val="left" w:pos="567"/>
        </w:tabs>
        <w:ind w:left="567" w:hanging="567"/>
        <w:jc w:val="both"/>
        <w:rPr>
          <w:rFonts w:cs="Arial"/>
          <w:szCs w:val="24"/>
        </w:rPr>
      </w:pPr>
      <w:r w:rsidRPr="007C0D59">
        <w:rPr>
          <w:rFonts w:cs="Arial"/>
          <w:bCs/>
          <w:szCs w:val="24"/>
        </w:rPr>
        <w:t xml:space="preserve">The 2019/20 </w:t>
      </w:r>
      <w:r w:rsidR="008D011A">
        <w:rPr>
          <w:rFonts w:cs="Arial"/>
          <w:bCs/>
          <w:szCs w:val="24"/>
        </w:rPr>
        <w:t>C</w:t>
      </w:r>
      <w:r w:rsidRPr="007C0D59">
        <w:rPr>
          <w:rFonts w:cs="Arial"/>
          <w:bCs/>
          <w:szCs w:val="24"/>
        </w:rPr>
        <w:t xml:space="preserve">apital </w:t>
      </w:r>
      <w:r w:rsidR="008D011A">
        <w:rPr>
          <w:rFonts w:cs="Arial"/>
          <w:bCs/>
          <w:szCs w:val="24"/>
        </w:rPr>
        <w:t>P</w:t>
      </w:r>
      <w:r w:rsidRPr="007C0D59">
        <w:rPr>
          <w:rFonts w:cs="Arial"/>
          <w:bCs/>
          <w:szCs w:val="24"/>
        </w:rPr>
        <w:t xml:space="preserve">rogramme </w:t>
      </w:r>
      <w:r w:rsidR="009D12F4">
        <w:rPr>
          <w:rFonts w:cs="Arial"/>
          <w:bCs/>
          <w:szCs w:val="24"/>
        </w:rPr>
        <w:t xml:space="preserve">is </w:t>
      </w:r>
      <w:r w:rsidRPr="007C0D59">
        <w:rPr>
          <w:rFonts w:cs="Arial"/>
          <w:bCs/>
          <w:szCs w:val="24"/>
        </w:rPr>
        <w:t>£</w:t>
      </w:r>
      <w:r w:rsidR="0003222D">
        <w:rPr>
          <w:rFonts w:cs="Arial"/>
          <w:bCs/>
          <w:szCs w:val="24"/>
        </w:rPr>
        <w:t>124.280</w:t>
      </w:r>
      <w:r w:rsidRPr="009E4B36">
        <w:rPr>
          <w:rFonts w:cs="Arial"/>
          <w:bCs/>
          <w:szCs w:val="24"/>
        </w:rPr>
        <w:t xml:space="preserve">m.  After allowing for agreed </w:t>
      </w:r>
      <w:r w:rsidR="009D12F4">
        <w:rPr>
          <w:rFonts w:cs="Arial"/>
          <w:bCs/>
          <w:szCs w:val="24"/>
        </w:rPr>
        <w:t xml:space="preserve">carry forward </w:t>
      </w:r>
      <w:r w:rsidRPr="009E4B36">
        <w:rPr>
          <w:rFonts w:cs="Arial"/>
          <w:bCs/>
          <w:szCs w:val="24"/>
        </w:rPr>
        <w:t>of £</w:t>
      </w:r>
      <w:r w:rsidR="00B7003E" w:rsidRPr="009E4B36">
        <w:rPr>
          <w:rFonts w:cs="Arial"/>
          <w:bCs/>
          <w:szCs w:val="24"/>
        </w:rPr>
        <w:t>9</w:t>
      </w:r>
      <w:r w:rsidR="00A23AAF">
        <w:rPr>
          <w:rFonts w:cs="Arial"/>
          <w:bCs/>
          <w:szCs w:val="24"/>
        </w:rPr>
        <w:t>4</w:t>
      </w:r>
      <w:r w:rsidR="00B7003E" w:rsidRPr="009E4B36">
        <w:rPr>
          <w:rFonts w:cs="Arial"/>
          <w:bCs/>
          <w:szCs w:val="24"/>
        </w:rPr>
        <w:t>.616</w:t>
      </w:r>
      <w:r w:rsidRPr="009E4B36">
        <w:rPr>
          <w:rFonts w:cs="Arial"/>
          <w:bCs/>
          <w:szCs w:val="24"/>
        </w:rPr>
        <w:t>m from 2018/19  and other</w:t>
      </w:r>
      <w:r w:rsidR="009D12F4">
        <w:rPr>
          <w:rFonts w:cs="Arial"/>
          <w:bCs/>
          <w:szCs w:val="24"/>
        </w:rPr>
        <w:t xml:space="preserve"> </w:t>
      </w:r>
      <w:r w:rsidRPr="009E4B36">
        <w:rPr>
          <w:rFonts w:cs="Arial"/>
          <w:bCs/>
          <w:szCs w:val="24"/>
        </w:rPr>
        <w:t>approved amendments of £</w:t>
      </w:r>
      <w:r w:rsidR="00A23AAF">
        <w:rPr>
          <w:rFonts w:cs="Arial"/>
          <w:bCs/>
          <w:szCs w:val="24"/>
        </w:rPr>
        <w:t>99.455</w:t>
      </w:r>
      <w:r w:rsidRPr="007C0D59">
        <w:rPr>
          <w:rFonts w:cs="Arial"/>
          <w:bCs/>
          <w:szCs w:val="24"/>
        </w:rPr>
        <w:t>m</w:t>
      </w:r>
      <w:r w:rsidR="00BD3890">
        <w:rPr>
          <w:rFonts w:cs="Arial"/>
          <w:bCs/>
          <w:szCs w:val="24"/>
        </w:rPr>
        <w:t xml:space="preserve">, </w:t>
      </w:r>
      <w:r w:rsidRPr="007C0D59">
        <w:rPr>
          <w:rFonts w:cs="Arial"/>
          <w:bCs/>
          <w:szCs w:val="24"/>
        </w:rPr>
        <w:t>the programme now totals £</w:t>
      </w:r>
      <w:r w:rsidR="00A23AAF">
        <w:rPr>
          <w:rFonts w:cs="Arial"/>
          <w:bCs/>
          <w:szCs w:val="24"/>
        </w:rPr>
        <w:t>318.35</w:t>
      </w:r>
      <w:r w:rsidR="00BE4B31">
        <w:rPr>
          <w:rFonts w:cs="Arial"/>
          <w:bCs/>
          <w:szCs w:val="24"/>
        </w:rPr>
        <w:t>1</w:t>
      </w:r>
      <w:r w:rsidRPr="009E4B36">
        <w:rPr>
          <w:rFonts w:cs="Arial"/>
          <w:bCs/>
          <w:szCs w:val="24"/>
        </w:rPr>
        <w:t xml:space="preserve">m at Quarter </w:t>
      </w:r>
      <w:r w:rsidR="00A23AAF">
        <w:rPr>
          <w:rFonts w:cs="Arial"/>
          <w:bCs/>
          <w:szCs w:val="24"/>
        </w:rPr>
        <w:t>2</w:t>
      </w:r>
      <w:r w:rsidR="009D12F4">
        <w:rPr>
          <w:rFonts w:cs="Arial"/>
          <w:bCs/>
          <w:szCs w:val="24"/>
        </w:rPr>
        <w:t>:</w:t>
      </w:r>
    </w:p>
    <w:p w14:paraId="473C4483" w14:textId="77777777" w:rsidR="00F475B4" w:rsidRPr="00221D9F" w:rsidRDefault="00F475B4">
      <w:pPr>
        <w:ind w:left="709"/>
        <w:jc w:val="both"/>
        <w:rPr>
          <w:rFonts w:cs="Arial"/>
          <w:b/>
          <w:bCs/>
          <w:szCs w:val="24"/>
          <w:u w:val="single"/>
        </w:rPr>
      </w:pPr>
    </w:p>
    <w:p w14:paraId="15A495F2" w14:textId="3739A05A" w:rsidR="006764E7" w:rsidRDefault="00B7003E" w:rsidP="00825AC5">
      <w:pPr>
        <w:tabs>
          <w:tab w:val="left" w:pos="2268"/>
          <w:tab w:val="left" w:pos="2410"/>
          <w:tab w:val="left" w:pos="4111"/>
          <w:tab w:val="left" w:pos="4678"/>
        </w:tabs>
        <w:ind w:left="567" w:right="4252"/>
        <w:jc w:val="both"/>
        <w:rPr>
          <w:rFonts w:cs="Arial"/>
          <w:b/>
          <w:bCs/>
          <w:szCs w:val="24"/>
          <w:u w:val="single"/>
        </w:rPr>
      </w:pPr>
      <w:r w:rsidRPr="007C0D59">
        <w:rPr>
          <w:rFonts w:cs="Arial"/>
          <w:b/>
          <w:bCs/>
          <w:szCs w:val="24"/>
          <w:u w:val="single"/>
        </w:rPr>
        <w:lastRenderedPageBreak/>
        <w:t>Table</w:t>
      </w:r>
      <w:r w:rsidR="00273559">
        <w:rPr>
          <w:rFonts w:cs="Arial"/>
          <w:b/>
          <w:bCs/>
          <w:szCs w:val="24"/>
          <w:u w:val="single"/>
        </w:rPr>
        <w:t xml:space="preserve"> </w:t>
      </w:r>
      <w:r w:rsidR="008D011A">
        <w:rPr>
          <w:rFonts w:cs="Arial"/>
          <w:b/>
          <w:bCs/>
          <w:szCs w:val="24"/>
          <w:u w:val="single"/>
        </w:rPr>
        <w:t>9</w:t>
      </w:r>
      <w:r w:rsidRPr="009E4B36">
        <w:rPr>
          <w:rFonts w:cs="Arial"/>
          <w:b/>
          <w:bCs/>
          <w:szCs w:val="24"/>
          <w:u w:val="single"/>
        </w:rPr>
        <w:t xml:space="preserve">: Capital </w:t>
      </w:r>
      <w:r w:rsidR="009D12F4">
        <w:rPr>
          <w:rFonts w:cs="Arial"/>
          <w:b/>
          <w:bCs/>
          <w:szCs w:val="24"/>
          <w:u w:val="single"/>
        </w:rPr>
        <w:t>Forecast</w:t>
      </w:r>
      <w:r w:rsidRPr="009E4B36">
        <w:rPr>
          <w:rFonts w:cs="Arial"/>
          <w:b/>
          <w:bCs/>
          <w:szCs w:val="24"/>
          <w:u w:val="single"/>
        </w:rPr>
        <w:t xml:space="preserve"> </w:t>
      </w:r>
      <w:r w:rsidR="0003222D">
        <w:rPr>
          <w:rFonts w:cs="Arial"/>
          <w:b/>
          <w:bCs/>
          <w:szCs w:val="24"/>
          <w:u w:val="single"/>
        </w:rPr>
        <w:t>S</w:t>
      </w:r>
      <w:r w:rsidRPr="009E4B36">
        <w:rPr>
          <w:rFonts w:cs="Arial"/>
          <w:b/>
          <w:bCs/>
          <w:szCs w:val="24"/>
          <w:u w:val="single"/>
        </w:rPr>
        <w:t>ummary</w:t>
      </w:r>
      <w:r w:rsidR="00C93E9C" w:rsidRPr="00C93E9C">
        <w:rPr>
          <w:rFonts w:cs="Arial"/>
          <w:b/>
          <w:bCs/>
          <w:szCs w:val="24"/>
          <w:u w:val="single"/>
        </w:rPr>
        <w:t xml:space="preserve"> </w:t>
      </w:r>
      <w:r w:rsidR="00BE4B31" w:rsidRPr="00BE4B31">
        <w:rPr>
          <w:noProof/>
          <w:lang w:eastAsia="en-GB"/>
        </w:rPr>
        <w:drawing>
          <wp:inline distT="0" distB="0" distL="0" distR="0" wp14:anchorId="270BDEF9" wp14:editId="0141ACC3">
            <wp:extent cx="5304692" cy="191086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4950" cy="1910955"/>
                    </a:xfrm>
                    <a:prstGeom prst="rect">
                      <a:avLst/>
                    </a:prstGeom>
                    <a:noFill/>
                    <a:ln>
                      <a:noFill/>
                    </a:ln>
                  </pic:spPr>
                </pic:pic>
              </a:graphicData>
            </a:graphic>
          </wp:inline>
        </w:drawing>
      </w:r>
    </w:p>
    <w:p w14:paraId="34EA3E59" w14:textId="77777777" w:rsidR="00FA7084" w:rsidRPr="00C848AF" w:rsidRDefault="00FA7084" w:rsidP="00C9462C">
      <w:pPr>
        <w:pStyle w:val="ListParagraph"/>
        <w:tabs>
          <w:tab w:val="left" w:pos="567"/>
        </w:tabs>
        <w:ind w:left="567"/>
        <w:contextualSpacing/>
        <w:jc w:val="both"/>
        <w:rPr>
          <w:rFonts w:cs="Arial"/>
          <w:szCs w:val="24"/>
        </w:rPr>
      </w:pPr>
    </w:p>
    <w:p w14:paraId="1AB97853" w14:textId="42E2D454" w:rsidR="00703EAC" w:rsidRPr="00703EAC" w:rsidRDefault="00AF770A">
      <w:pPr>
        <w:pStyle w:val="ListParagraph"/>
        <w:numPr>
          <w:ilvl w:val="0"/>
          <w:numId w:val="22"/>
        </w:numPr>
        <w:tabs>
          <w:tab w:val="left" w:pos="567"/>
        </w:tabs>
        <w:ind w:left="567" w:hanging="567"/>
        <w:contextualSpacing/>
        <w:jc w:val="both"/>
        <w:rPr>
          <w:rFonts w:cs="Arial"/>
          <w:szCs w:val="24"/>
        </w:rPr>
      </w:pPr>
      <w:r w:rsidRPr="008D011A">
        <w:rPr>
          <w:rFonts w:cs="Arial"/>
          <w:bCs/>
          <w:szCs w:val="24"/>
        </w:rPr>
        <w:t xml:space="preserve">The forecast spend at Quarter </w:t>
      </w:r>
      <w:r w:rsidR="00A23AAF">
        <w:rPr>
          <w:rFonts w:cs="Arial"/>
          <w:bCs/>
          <w:szCs w:val="24"/>
        </w:rPr>
        <w:t>2</w:t>
      </w:r>
      <w:r w:rsidRPr="008D011A">
        <w:rPr>
          <w:rFonts w:cs="Arial"/>
          <w:bCs/>
          <w:szCs w:val="24"/>
        </w:rPr>
        <w:t xml:space="preserve"> is £</w:t>
      </w:r>
      <w:r w:rsidR="00115786">
        <w:rPr>
          <w:rFonts w:cs="Arial"/>
          <w:bCs/>
          <w:szCs w:val="24"/>
        </w:rPr>
        <w:t>1</w:t>
      </w:r>
      <w:r w:rsidR="006043E1">
        <w:rPr>
          <w:rFonts w:cs="Arial"/>
          <w:bCs/>
          <w:szCs w:val="24"/>
        </w:rPr>
        <w:t>39.27</w:t>
      </w:r>
      <w:r w:rsidR="00BE4B31">
        <w:rPr>
          <w:rFonts w:cs="Arial"/>
          <w:bCs/>
          <w:szCs w:val="24"/>
        </w:rPr>
        <w:t>1</w:t>
      </w:r>
      <w:r w:rsidR="00115786">
        <w:rPr>
          <w:rFonts w:cs="Arial"/>
          <w:bCs/>
          <w:szCs w:val="24"/>
        </w:rPr>
        <w:t>m</w:t>
      </w:r>
      <w:r w:rsidRPr="008D011A">
        <w:rPr>
          <w:rFonts w:cs="Arial"/>
          <w:bCs/>
          <w:szCs w:val="24"/>
        </w:rPr>
        <w:t xml:space="preserve">, </w:t>
      </w:r>
      <w:r w:rsidR="00115786">
        <w:rPr>
          <w:rFonts w:cs="Arial"/>
          <w:bCs/>
          <w:szCs w:val="24"/>
        </w:rPr>
        <w:t>44</w:t>
      </w:r>
      <w:r w:rsidRPr="008D011A">
        <w:rPr>
          <w:rFonts w:cs="Arial"/>
          <w:bCs/>
          <w:szCs w:val="24"/>
        </w:rPr>
        <w:t>% of the total capital programme. The forecast variance on the General Fund is (£</w:t>
      </w:r>
      <w:r w:rsidR="00115786">
        <w:rPr>
          <w:rFonts w:cs="Arial"/>
          <w:bCs/>
          <w:szCs w:val="24"/>
        </w:rPr>
        <w:t>16</w:t>
      </w:r>
      <w:r w:rsidR="003A7031">
        <w:rPr>
          <w:rFonts w:cs="Arial"/>
          <w:bCs/>
          <w:szCs w:val="24"/>
        </w:rPr>
        <w:t>8.32</w:t>
      </w:r>
      <w:r w:rsidR="00BE4B31">
        <w:rPr>
          <w:rFonts w:cs="Arial"/>
          <w:bCs/>
          <w:szCs w:val="24"/>
        </w:rPr>
        <w:t>2</w:t>
      </w:r>
      <w:r w:rsidRPr="008D011A">
        <w:rPr>
          <w:rFonts w:cs="Arial"/>
          <w:bCs/>
          <w:szCs w:val="24"/>
        </w:rPr>
        <w:t xml:space="preserve">m), </w:t>
      </w:r>
      <w:r w:rsidR="00D21E08">
        <w:rPr>
          <w:rFonts w:cs="Arial"/>
          <w:bCs/>
          <w:szCs w:val="24"/>
        </w:rPr>
        <w:t>£</w:t>
      </w:r>
      <w:r w:rsidR="000F6980">
        <w:rPr>
          <w:rFonts w:cs="Arial"/>
          <w:bCs/>
          <w:szCs w:val="24"/>
        </w:rPr>
        <w:t xml:space="preserve">167.402m </w:t>
      </w:r>
      <w:r w:rsidR="000F6980" w:rsidRPr="008D011A">
        <w:rPr>
          <w:rFonts w:cs="Arial"/>
          <w:bCs/>
          <w:szCs w:val="24"/>
        </w:rPr>
        <w:t>will be</w:t>
      </w:r>
      <w:r w:rsidR="00B7003E" w:rsidRPr="008D011A">
        <w:rPr>
          <w:rFonts w:cs="Arial"/>
          <w:bCs/>
          <w:szCs w:val="24"/>
        </w:rPr>
        <w:t xml:space="preserve"> </w:t>
      </w:r>
      <w:r w:rsidR="003634DA" w:rsidRPr="008D011A">
        <w:rPr>
          <w:rFonts w:cs="Arial"/>
          <w:bCs/>
          <w:szCs w:val="24"/>
        </w:rPr>
        <w:t>slipped into</w:t>
      </w:r>
      <w:r w:rsidRPr="008D011A">
        <w:rPr>
          <w:rFonts w:cs="Arial"/>
          <w:bCs/>
          <w:szCs w:val="24"/>
        </w:rPr>
        <w:t xml:space="preserve"> 2020/21</w:t>
      </w:r>
      <w:r w:rsidR="00521A83">
        <w:rPr>
          <w:rFonts w:cs="Arial"/>
          <w:bCs/>
          <w:szCs w:val="24"/>
        </w:rPr>
        <w:t xml:space="preserve"> and </w:t>
      </w:r>
      <w:r w:rsidR="00115786">
        <w:rPr>
          <w:rFonts w:cs="Arial"/>
          <w:bCs/>
          <w:szCs w:val="24"/>
        </w:rPr>
        <w:t>£</w:t>
      </w:r>
      <w:r w:rsidR="00B4366D">
        <w:rPr>
          <w:rFonts w:cs="Arial"/>
          <w:bCs/>
          <w:szCs w:val="24"/>
        </w:rPr>
        <w:t>9</w:t>
      </w:r>
      <w:r w:rsidR="00735099">
        <w:rPr>
          <w:rFonts w:cs="Arial"/>
          <w:bCs/>
          <w:szCs w:val="24"/>
        </w:rPr>
        <w:t>20</w:t>
      </w:r>
      <w:r w:rsidR="00115786">
        <w:rPr>
          <w:rFonts w:cs="Arial"/>
          <w:bCs/>
          <w:szCs w:val="24"/>
        </w:rPr>
        <w:t>k c</w:t>
      </w:r>
      <w:r w:rsidR="006F5336">
        <w:rPr>
          <w:rFonts w:cs="Arial"/>
          <w:bCs/>
          <w:szCs w:val="24"/>
        </w:rPr>
        <w:t>an be removed from the p</w:t>
      </w:r>
      <w:r w:rsidR="00115786">
        <w:rPr>
          <w:rFonts w:cs="Arial"/>
          <w:bCs/>
          <w:szCs w:val="24"/>
        </w:rPr>
        <w:t>rogramme</w:t>
      </w:r>
      <w:r w:rsidR="00B7003E" w:rsidRPr="008D011A">
        <w:rPr>
          <w:rFonts w:cs="Arial"/>
          <w:bCs/>
          <w:szCs w:val="24"/>
        </w:rPr>
        <w:t>.</w:t>
      </w:r>
      <w:r w:rsidR="00115786">
        <w:rPr>
          <w:rFonts w:cs="Arial"/>
          <w:bCs/>
          <w:szCs w:val="24"/>
        </w:rPr>
        <w:t xml:space="preserve"> </w:t>
      </w:r>
      <w:r w:rsidRPr="00D34688">
        <w:rPr>
          <w:rFonts w:cs="Arial"/>
          <w:bCs/>
          <w:szCs w:val="24"/>
        </w:rPr>
        <w:t>The forecast variance on the Housing Revenue Account budget is a variance of (£</w:t>
      </w:r>
      <w:r w:rsidR="00115786">
        <w:rPr>
          <w:rFonts w:cs="Arial"/>
          <w:bCs/>
          <w:szCs w:val="24"/>
        </w:rPr>
        <w:t>10.758</w:t>
      </w:r>
      <w:r w:rsidRPr="00D34688">
        <w:rPr>
          <w:rFonts w:cs="Arial"/>
          <w:bCs/>
          <w:szCs w:val="24"/>
        </w:rPr>
        <w:t>m)</w:t>
      </w:r>
      <w:r w:rsidR="006E1B96">
        <w:rPr>
          <w:rFonts w:cs="Arial"/>
          <w:bCs/>
          <w:szCs w:val="24"/>
        </w:rPr>
        <w:t>;</w:t>
      </w:r>
      <w:r w:rsidR="00BD5A5F">
        <w:rPr>
          <w:rFonts w:cs="Arial"/>
          <w:bCs/>
          <w:szCs w:val="24"/>
        </w:rPr>
        <w:t xml:space="preserve"> </w:t>
      </w:r>
      <w:r w:rsidR="00BD5A5F" w:rsidRPr="00D34688">
        <w:rPr>
          <w:rFonts w:cs="Arial"/>
          <w:bCs/>
          <w:szCs w:val="24"/>
        </w:rPr>
        <w:t>£</w:t>
      </w:r>
      <w:r w:rsidR="00B4366D">
        <w:rPr>
          <w:rFonts w:cs="Arial"/>
          <w:bCs/>
          <w:szCs w:val="24"/>
        </w:rPr>
        <w:t>11.270</w:t>
      </w:r>
      <w:r w:rsidR="003A7031">
        <w:rPr>
          <w:rFonts w:cs="Arial"/>
          <w:bCs/>
          <w:szCs w:val="24"/>
        </w:rPr>
        <w:t>m</w:t>
      </w:r>
      <w:r w:rsidR="00C93E9C">
        <w:rPr>
          <w:rFonts w:cs="Arial"/>
          <w:bCs/>
          <w:szCs w:val="24"/>
        </w:rPr>
        <w:t xml:space="preserve"> </w:t>
      </w:r>
      <w:r w:rsidR="00675F21" w:rsidRPr="00D34688">
        <w:rPr>
          <w:rFonts w:cs="Arial"/>
          <w:bCs/>
          <w:szCs w:val="24"/>
        </w:rPr>
        <w:t xml:space="preserve">will </w:t>
      </w:r>
      <w:r w:rsidR="00BD5A5F" w:rsidRPr="00D34688">
        <w:rPr>
          <w:rFonts w:cs="Arial"/>
          <w:bCs/>
          <w:szCs w:val="24"/>
        </w:rPr>
        <w:t xml:space="preserve">be </w:t>
      </w:r>
      <w:r w:rsidR="00AB26B8">
        <w:rPr>
          <w:rFonts w:cs="Arial"/>
          <w:bCs/>
          <w:szCs w:val="24"/>
        </w:rPr>
        <w:t xml:space="preserve">requested for </w:t>
      </w:r>
      <w:r w:rsidR="00BD5A5F" w:rsidRPr="00D34688">
        <w:rPr>
          <w:rFonts w:cs="Arial"/>
          <w:bCs/>
          <w:szCs w:val="24"/>
        </w:rPr>
        <w:t>slipp</w:t>
      </w:r>
      <w:r w:rsidR="00AB26B8">
        <w:rPr>
          <w:rFonts w:cs="Arial"/>
          <w:bCs/>
          <w:szCs w:val="24"/>
        </w:rPr>
        <w:t>age</w:t>
      </w:r>
      <w:r w:rsidRPr="00D34688">
        <w:rPr>
          <w:rFonts w:cs="Arial"/>
          <w:bCs/>
          <w:szCs w:val="24"/>
        </w:rPr>
        <w:t xml:space="preserve"> into 2020/21</w:t>
      </w:r>
      <w:r w:rsidR="00AB26B8">
        <w:rPr>
          <w:rFonts w:cs="Arial"/>
          <w:bCs/>
          <w:szCs w:val="24"/>
        </w:rPr>
        <w:t>,</w:t>
      </w:r>
      <w:r w:rsidRPr="00D34688">
        <w:rPr>
          <w:rFonts w:cs="Arial"/>
          <w:bCs/>
          <w:szCs w:val="24"/>
        </w:rPr>
        <w:t xml:space="preserve"> </w:t>
      </w:r>
      <w:r w:rsidR="00B4366D">
        <w:rPr>
          <w:rFonts w:cs="Arial"/>
          <w:bCs/>
          <w:szCs w:val="24"/>
        </w:rPr>
        <w:t>resulting in an overall pressure of £512k.</w:t>
      </w:r>
    </w:p>
    <w:p w14:paraId="23505764" w14:textId="77777777" w:rsidR="00703EAC" w:rsidRPr="00703EAC" w:rsidRDefault="00703EAC" w:rsidP="00825AC5">
      <w:pPr>
        <w:pStyle w:val="ListParagraph"/>
        <w:jc w:val="both"/>
        <w:rPr>
          <w:rFonts w:cs="Arial"/>
          <w:bCs/>
          <w:szCs w:val="24"/>
        </w:rPr>
      </w:pPr>
    </w:p>
    <w:p w14:paraId="50515E94" w14:textId="1E7C7E80" w:rsidR="00AF770A" w:rsidRPr="009E4B36" w:rsidRDefault="00AF770A">
      <w:pPr>
        <w:pStyle w:val="ListParagraph"/>
        <w:numPr>
          <w:ilvl w:val="0"/>
          <w:numId w:val="22"/>
        </w:numPr>
        <w:tabs>
          <w:tab w:val="left" w:pos="567"/>
        </w:tabs>
        <w:ind w:left="567" w:hanging="567"/>
        <w:contextualSpacing/>
        <w:jc w:val="both"/>
        <w:rPr>
          <w:rFonts w:cs="Arial"/>
          <w:szCs w:val="24"/>
        </w:rPr>
      </w:pPr>
      <w:r w:rsidRPr="007C0D59">
        <w:rPr>
          <w:rFonts w:cs="Arial"/>
          <w:bCs/>
          <w:szCs w:val="24"/>
        </w:rPr>
        <w:t xml:space="preserve">Tables </w:t>
      </w:r>
      <w:r w:rsidR="008D011A">
        <w:rPr>
          <w:rFonts w:cs="Arial"/>
          <w:bCs/>
          <w:szCs w:val="24"/>
        </w:rPr>
        <w:t>10</w:t>
      </w:r>
      <w:r w:rsidRPr="007C0D59">
        <w:rPr>
          <w:rFonts w:cs="Arial"/>
          <w:bCs/>
          <w:szCs w:val="24"/>
        </w:rPr>
        <w:t xml:space="preserve"> and </w:t>
      </w:r>
      <w:r w:rsidR="008D011A">
        <w:rPr>
          <w:rFonts w:cs="Arial"/>
          <w:bCs/>
          <w:szCs w:val="24"/>
        </w:rPr>
        <w:t>11</w:t>
      </w:r>
      <w:r w:rsidR="007E1D08">
        <w:rPr>
          <w:rFonts w:cs="Arial"/>
          <w:bCs/>
          <w:szCs w:val="24"/>
        </w:rPr>
        <w:t xml:space="preserve"> </w:t>
      </w:r>
      <w:r w:rsidRPr="009E4B36">
        <w:rPr>
          <w:rFonts w:cs="Arial"/>
          <w:bCs/>
          <w:szCs w:val="24"/>
        </w:rPr>
        <w:t xml:space="preserve">below summarise the capital forecast position and Appendix </w:t>
      </w:r>
      <w:r w:rsidR="007E1D08">
        <w:rPr>
          <w:rFonts w:cs="Arial"/>
          <w:bCs/>
          <w:szCs w:val="24"/>
        </w:rPr>
        <w:t>5</w:t>
      </w:r>
      <w:r w:rsidRPr="009E4B36">
        <w:rPr>
          <w:rFonts w:cs="Arial"/>
          <w:bCs/>
          <w:szCs w:val="24"/>
        </w:rPr>
        <w:t xml:space="preserve"> shows the </w:t>
      </w:r>
      <w:r w:rsidR="008D011A">
        <w:rPr>
          <w:rFonts w:cs="Arial"/>
          <w:bCs/>
          <w:szCs w:val="24"/>
        </w:rPr>
        <w:t>C</w:t>
      </w:r>
      <w:r w:rsidRPr="009E4B36">
        <w:rPr>
          <w:rFonts w:cs="Arial"/>
          <w:bCs/>
          <w:szCs w:val="24"/>
        </w:rPr>
        <w:t xml:space="preserve">apital </w:t>
      </w:r>
      <w:r w:rsidR="008D011A">
        <w:rPr>
          <w:rFonts w:cs="Arial"/>
          <w:bCs/>
          <w:szCs w:val="24"/>
        </w:rPr>
        <w:t>P</w:t>
      </w:r>
      <w:r w:rsidRPr="009E4B36">
        <w:rPr>
          <w:rFonts w:cs="Arial"/>
          <w:bCs/>
          <w:szCs w:val="24"/>
        </w:rPr>
        <w:t>rogramme in more detail</w:t>
      </w:r>
      <w:r w:rsidR="00703EAC">
        <w:rPr>
          <w:rFonts w:cs="Arial"/>
          <w:bCs/>
          <w:szCs w:val="24"/>
        </w:rPr>
        <w:t>.</w:t>
      </w:r>
    </w:p>
    <w:p w14:paraId="16EF2DFC" w14:textId="77777777" w:rsidR="00021CD0" w:rsidRDefault="00021CD0">
      <w:pPr>
        <w:jc w:val="both"/>
        <w:rPr>
          <w:rFonts w:cs="Arial"/>
          <w:b/>
          <w:bCs/>
          <w:szCs w:val="24"/>
          <w:u w:val="single"/>
        </w:rPr>
      </w:pPr>
    </w:p>
    <w:p w14:paraId="022662DE" w14:textId="77777777" w:rsidR="004B39DE" w:rsidRPr="00221D9F" w:rsidRDefault="004B39DE">
      <w:pPr>
        <w:jc w:val="both"/>
        <w:rPr>
          <w:rFonts w:cs="Arial"/>
          <w:b/>
          <w:bCs/>
          <w:szCs w:val="24"/>
          <w:u w:val="single"/>
        </w:rPr>
      </w:pPr>
    </w:p>
    <w:p w14:paraId="6E2AA53D" w14:textId="277170A2" w:rsidR="00B329CE" w:rsidRPr="009E4B36" w:rsidRDefault="00A53EAA" w:rsidP="00825AC5">
      <w:pPr>
        <w:tabs>
          <w:tab w:val="left" w:pos="6237"/>
          <w:tab w:val="left" w:pos="7088"/>
        </w:tabs>
        <w:ind w:left="567" w:right="2126" w:hanging="567"/>
        <w:jc w:val="both"/>
        <w:rPr>
          <w:rFonts w:cs="Arial"/>
          <w:b/>
          <w:bCs/>
          <w:szCs w:val="24"/>
          <w:u w:val="single"/>
        </w:rPr>
      </w:pPr>
      <w:r w:rsidRPr="003634DA">
        <w:rPr>
          <w:rFonts w:cs="Arial"/>
          <w:b/>
          <w:bCs/>
          <w:szCs w:val="24"/>
        </w:rPr>
        <w:tab/>
      </w:r>
      <w:r w:rsidR="00AF770A" w:rsidRPr="00CA0075">
        <w:rPr>
          <w:rFonts w:cs="Arial"/>
          <w:b/>
          <w:bCs/>
          <w:szCs w:val="24"/>
          <w:u w:val="single"/>
        </w:rPr>
        <w:t xml:space="preserve">Table </w:t>
      </w:r>
      <w:r w:rsidR="008D011A">
        <w:rPr>
          <w:rFonts w:cs="Arial"/>
          <w:b/>
          <w:bCs/>
          <w:szCs w:val="24"/>
          <w:u w:val="single"/>
        </w:rPr>
        <w:t>10</w:t>
      </w:r>
      <w:r w:rsidR="00AF770A" w:rsidRPr="00CA0075">
        <w:rPr>
          <w:rFonts w:cs="Arial"/>
          <w:b/>
          <w:bCs/>
          <w:szCs w:val="24"/>
          <w:u w:val="single"/>
        </w:rPr>
        <w:t xml:space="preserve">: </w:t>
      </w:r>
      <w:r w:rsidR="00B329CE" w:rsidRPr="009E4B36">
        <w:rPr>
          <w:rFonts w:cs="Arial"/>
          <w:b/>
          <w:bCs/>
          <w:szCs w:val="24"/>
          <w:u w:val="single"/>
        </w:rPr>
        <w:t>Summary of Capital forecast by Directorate</w:t>
      </w:r>
      <w:r w:rsidR="0026277B" w:rsidRPr="00221D9F">
        <w:rPr>
          <w:rFonts w:cs="Arial"/>
          <w:b/>
          <w:bCs/>
          <w:szCs w:val="24"/>
          <w:u w:val="single"/>
        </w:rPr>
        <w:t xml:space="preserve"> </w:t>
      </w:r>
      <w:r w:rsidR="006764E7">
        <w:rPr>
          <w:rFonts w:cs="Arial"/>
          <w:b/>
          <w:bCs/>
          <w:szCs w:val="24"/>
          <w:u w:val="single"/>
        </w:rPr>
        <w:t xml:space="preserve"> </w:t>
      </w:r>
      <w:r w:rsidR="00BE4B31" w:rsidRPr="00BE4B31">
        <w:rPr>
          <w:noProof/>
          <w:lang w:eastAsia="en-GB"/>
        </w:rPr>
        <w:drawing>
          <wp:inline distT="0" distB="0" distL="0" distR="0" wp14:anchorId="0EFBD776" wp14:editId="07E59809">
            <wp:extent cx="5386754" cy="4460631"/>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6754" cy="4460631"/>
                    </a:xfrm>
                    <a:prstGeom prst="rect">
                      <a:avLst/>
                    </a:prstGeom>
                    <a:noFill/>
                    <a:ln>
                      <a:noFill/>
                    </a:ln>
                  </pic:spPr>
                </pic:pic>
              </a:graphicData>
            </a:graphic>
          </wp:inline>
        </w:drawing>
      </w:r>
      <w:r w:rsidR="006764E7">
        <w:rPr>
          <w:rFonts w:cs="Arial"/>
          <w:b/>
          <w:bCs/>
          <w:szCs w:val="24"/>
          <w:u w:val="single"/>
        </w:rPr>
        <w:t xml:space="preserve">  </w:t>
      </w:r>
      <w:r w:rsidR="00B329CE" w:rsidRPr="00CA0075" w:rsidDel="00A60377">
        <w:rPr>
          <w:rFonts w:cs="Arial"/>
          <w:b/>
          <w:bCs/>
          <w:szCs w:val="24"/>
          <w:u w:val="single"/>
        </w:rPr>
        <w:t xml:space="preserve">  </w:t>
      </w:r>
    </w:p>
    <w:p w14:paraId="7386260D" w14:textId="77777777" w:rsidR="000000DD" w:rsidRPr="00221D9F" w:rsidRDefault="000000DD">
      <w:pPr>
        <w:jc w:val="both"/>
        <w:rPr>
          <w:rFonts w:cs="Arial"/>
          <w:b/>
          <w:bCs/>
          <w:szCs w:val="24"/>
          <w:u w:val="single"/>
        </w:rPr>
      </w:pPr>
    </w:p>
    <w:p w14:paraId="4D35974C" w14:textId="6CBB6612" w:rsidR="00B329CE" w:rsidRDefault="00AF770A" w:rsidP="00825AC5">
      <w:pPr>
        <w:tabs>
          <w:tab w:val="left" w:pos="6379"/>
        </w:tabs>
        <w:ind w:left="567" w:right="2409"/>
        <w:jc w:val="both"/>
        <w:rPr>
          <w:rFonts w:cs="Arial"/>
          <w:b/>
          <w:bCs/>
          <w:szCs w:val="24"/>
          <w:u w:val="single"/>
        </w:rPr>
      </w:pPr>
      <w:r w:rsidRPr="007C0D59">
        <w:rPr>
          <w:rFonts w:cs="Arial"/>
          <w:b/>
          <w:bCs/>
          <w:szCs w:val="24"/>
          <w:u w:val="single"/>
        </w:rPr>
        <w:lastRenderedPageBreak/>
        <w:t xml:space="preserve">Table </w:t>
      </w:r>
      <w:r w:rsidR="008D011A">
        <w:rPr>
          <w:rFonts w:cs="Arial"/>
          <w:b/>
          <w:bCs/>
          <w:szCs w:val="24"/>
          <w:u w:val="single"/>
        </w:rPr>
        <w:t>11</w:t>
      </w:r>
      <w:r w:rsidRPr="007C0D59">
        <w:rPr>
          <w:rFonts w:cs="Arial"/>
          <w:b/>
          <w:bCs/>
          <w:szCs w:val="24"/>
          <w:u w:val="single"/>
        </w:rPr>
        <w:t xml:space="preserve">: </w:t>
      </w:r>
      <w:r w:rsidR="00B329CE" w:rsidRPr="007C0D59">
        <w:rPr>
          <w:rFonts w:cs="Arial"/>
          <w:b/>
          <w:bCs/>
          <w:szCs w:val="24"/>
          <w:u w:val="single"/>
        </w:rPr>
        <w:t>Analysis of Forecast Outturn Variance</w:t>
      </w:r>
      <w:r w:rsidR="00E54B87">
        <w:rPr>
          <w:rFonts w:cs="Arial"/>
          <w:b/>
          <w:bCs/>
          <w:szCs w:val="24"/>
          <w:u w:val="single"/>
        </w:rPr>
        <w:t xml:space="preserve"> </w:t>
      </w:r>
      <w:r w:rsidR="00BE4B31" w:rsidRPr="00BE4B31">
        <w:rPr>
          <w:noProof/>
          <w:lang w:eastAsia="en-GB"/>
        </w:rPr>
        <w:drawing>
          <wp:inline distT="0" distB="0" distL="0" distR="0" wp14:anchorId="5CE66842" wp14:editId="57DFD0D0">
            <wp:extent cx="5298831" cy="392723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1114" cy="3928923"/>
                    </a:xfrm>
                    <a:prstGeom prst="rect">
                      <a:avLst/>
                    </a:prstGeom>
                    <a:noFill/>
                    <a:ln>
                      <a:noFill/>
                    </a:ln>
                  </pic:spPr>
                </pic:pic>
              </a:graphicData>
            </a:graphic>
          </wp:inline>
        </w:drawing>
      </w:r>
    </w:p>
    <w:p w14:paraId="584D16AD" w14:textId="77777777" w:rsidR="003A5662" w:rsidRDefault="003A5662">
      <w:pPr>
        <w:ind w:left="567"/>
        <w:jc w:val="both"/>
        <w:rPr>
          <w:rFonts w:cs="Arial"/>
          <w:b/>
          <w:bCs/>
          <w:szCs w:val="24"/>
          <w:u w:val="single"/>
        </w:rPr>
      </w:pPr>
    </w:p>
    <w:p w14:paraId="206BCD3B" w14:textId="77777777" w:rsidR="003A5662" w:rsidRDefault="003A5662">
      <w:pPr>
        <w:ind w:left="567"/>
        <w:jc w:val="both"/>
        <w:rPr>
          <w:rFonts w:cs="Arial"/>
          <w:b/>
          <w:bCs/>
          <w:szCs w:val="24"/>
          <w:u w:val="single"/>
        </w:rPr>
      </w:pPr>
    </w:p>
    <w:p w14:paraId="6D94736E" w14:textId="77777777" w:rsidR="00DE7C00" w:rsidRDefault="00DE7C00">
      <w:pPr>
        <w:ind w:left="567"/>
        <w:jc w:val="both"/>
        <w:rPr>
          <w:rFonts w:cs="Arial"/>
          <w:b/>
          <w:bCs/>
          <w:szCs w:val="24"/>
          <w:u w:val="single"/>
        </w:rPr>
      </w:pPr>
    </w:p>
    <w:p w14:paraId="6E0BA62A" w14:textId="3D3FA05C" w:rsidR="00B329CE" w:rsidRPr="007C0D59" w:rsidRDefault="00B329CE">
      <w:pPr>
        <w:ind w:left="567"/>
        <w:jc w:val="both"/>
        <w:rPr>
          <w:rFonts w:cs="Arial"/>
          <w:b/>
          <w:szCs w:val="24"/>
          <w:u w:val="single"/>
        </w:rPr>
      </w:pPr>
      <w:r w:rsidRPr="007C0D59">
        <w:rPr>
          <w:rFonts w:cs="Arial"/>
          <w:b/>
          <w:szCs w:val="24"/>
          <w:u w:val="single"/>
        </w:rPr>
        <w:t xml:space="preserve">RESOURCES </w:t>
      </w:r>
    </w:p>
    <w:p w14:paraId="0AA84B71" w14:textId="6CBF21E4" w:rsidR="00B40346" w:rsidRPr="00A00997" w:rsidRDefault="00C57DF6">
      <w:pPr>
        <w:pStyle w:val="ListParagraph"/>
        <w:numPr>
          <w:ilvl w:val="0"/>
          <w:numId w:val="22"/>
        </w:numPr>
        <w:tabs>
          <w:tab w:val="left" w:pos="567"/>
        </w:tabs>
        <w:ind w:left="567" w:hanging="567"/>
        <w:jc w:val="both"/>
        <w:rPr>
          <w:rFonts w:cs="Arial"/>
          <w:szCs w:val="24"/>
        </w:rPr>
      </w:pPr>
      <w:r w:rsidRPr="00BA40AA">
        <w:rPr>
          <w:rFonts w:cs="Arial"/>
          <w:bCs/>
          <w:szCs w:val="24"/>
        </w:rPr>
        <w:t xml:space="preserve">As at Quarter </w:t>
      </w:r>
      <w:r w:rsidR="00F9538D" w:rsidRPr="00BA40AA">
        <w:rPr>
          <w:rFonts w:cs="Arial"/>
          <w:bCs/>
          <w:szCs w:val="24"/>
        </w:rPr>
        <w:t xml:space="preserve">2 </w:t>
      </w:r>
      <w:r w:rsidRPr="00BA40AA">
        <w:rPr>
          <w:rFonts w:cs="Arial"/>
          <w:bCs/>
          <w:szCs w:val="24"/>
        </w:rPr>
        <w:t xml:space="preserve">the Resources Directorate is forecasting </w:t>
      </w:r>
      <w:r w:rsidR="00BD3890" w:rsidRPr="00BA40AA">
        <w:rPr>
          <w:rFonts w:cs="Arial"/>
          <w:bCs/>
          <w:szCs w:val="24"/>
        </w:rPr>
        <w:t xml:space="preserve">an </w:t>
      </w:r>
      <w:r w:rsidRPr="00BA40AA">
        <w:rPr>
          <w:rFonts w:cs="Arial"/>
          <w:bCs/>
          <w:szCs w:val="24"/>
        </w:rPr>
        <w:t>overall spend of</w:t>
      </w:r>
      <w:r w:rsidR="007653AB">
        <w:rPr>
          <w:rFonts w:cs="Arial"/>
          <w:bCs/>
          <w:szCs w:val="24"/>
        </w:rPr>
        <w:t xml:space="preserve"> </w:t>
      </w:r>
      <w:r w:rsidR="00A50AEE">
        <w:rPr>
          <w:rFonts w:cs="Arial"/>
          <w:bCs/>
          <w:szCs w:val="24"/>
        </w:rPr>
        <w:t>£</w:t>
      </w:r>
      <w:r w:rsidR="007653AB">
        <w:rPr>
          <w:rFonts w:cs="Arial"/>
          <w:bCs/>
          <w:szCs w:val="24"/>
        </w:rPr>
        <w:t>4</w:t>
      </w:r>
      <w:r w:rsidR="00A4003C">
        <w:rPr>
          <w:rFonts w:cs="Arial"/>
          <w:bCs/>
          <w:szCs w:val="24"/>
        </w:rPr>
        <w:t>7.143</w:t>
      </w:r>
      <w:r w:rsidR="00F9538D" w:rsidRPr="00BA40AA">
        <w:rPr>
          <w:rFonts w:cs="Arial"/>
          <w:bCs/>
          <w:szCs w:val="24"/>
        </w:rPr>
        <w:t>m</w:t>
      </w:r>
      <w:r w:rsidR="00BE4B31">
        <w:rPr>
          <w:rFonts w:cs="Arial"/>
          <w:bCs/>
          <w:szCs w:val="24"/>
        </w:rPr>
        <w:t xml:space="preserve"> (33%).</w:t>
      </w:r>
    </w:p>
    <w:p w14:paraId="670DE6AE" w14:textId="77777777" w:rsidR="00241F3D" w:rsidRPr="00B40346" w:rsidRDefault="00241F3D" w:rsidP="00825AC5">
      <w:pPr>
        <w:pStyle w:val="ListParagraph"/>
        <w:tabs>
          <w:tab w:val="left" w:pos="567"/>
        </w:tabs>
        <w:ind w:left="567"/>
        <w:jc w:val="both"/>
        <w:rPr>
          <w:rFonts w:cs="Arial"/>
          <w:szCs w:val="24"/>
        </w:rPr>
      </w:pPr>
    </w:p>
    <w:p w14:paraId="1B57973A" w14:textId="5B99D5BD" w:rsidR="00241F3D" w:rsidRPr="00207C16" w:rsidRDefault="00F9538D">
      <w:pPr>
        <w:pStyle w:val="ListParagraph"/>
        <w:numPr>
          <w:ilvl w:val="0"/>
          <w:numId w:val="22"/>
        </w:numPr>
        <w:tabs>
          <w:tab w:val="left" w:pos="567"/>
        </w:tabs>
        <w:ind w:left="567" w:hanging="567"/>
        <w:jc w:val="both"/>
        <w:rPr>
          <w:rFonts w:cs="Arial"/>
          <w:szCs w:val="24"/>
        </w:rPr>
      </w:pPr>
      <w:r w:rsidRPr="00A52DBD">
        <w:rPr>
          <w:rFonts w:cs="Arial"/>
          <w:bCs/>
          <w:szCs w:val="24"/>
        </w:rPr>
        <w:t>The</w:t>
      </w:r>
      <w:r w:rsidR="00B40346">
        <w:rPr>
          <w:rFonts w:cs="Arial"/>
          <w:bCs/>
          <w:szCs w:val="24"/>
        </w:rPr>
        <w:t xml:space="preserve"> forecast </w:t>
      </w:r>
      <w:r w:rsidR="00BE4B31">
        <w:rPr>
          <w:rFonts w:cs="Arial"/>
          <w:bCs/>
          <w:szCs w:val="24"/>
        </w:rPr>
        <w:t>slippage</w:t>
      </w:r>
      <w:r w:rsidRPr="00A52DBD">
        <w:rPr>
          <w:rFonts w:cs="Arial"/>
          <w:bCs/>
          <w:szCs w:val="24"/>
        </w:rPr>
        <w:t xml:space="preserve"> of </w:t>
      </w:r>
      <w:r w:rsidR="0011774B">
        <w:rPr>
          <w:rFonts w:cs="Arial"/>
          <w:bCs/>
          <w:szCs w:val="24"/>
        </w:rPr>
        <w:t>(</w:t>
      </w:r>
      <w:r w:rsidRPr="00A52DBD">
        <w:rPr>
          <w:rFonts w:cs="Arial"/>
          <w:bCs/>
          <w:szCs w:val="24"/>
        </w:rPr>
        <w:t>£9</w:t>
      </w:r>
      <w:r w:rsidR="007A4934">
        <w:rPr>
          <w:rFonts w:cs="Arial"/>
          <w:bCs/>
          <w:szCs w:val="24"/>
        </w:rPr>
        <w:t>6.351</w:t>
      </w:r>
      <w:r w:rsidRPr="00A52DBD">
        <w:rPr>
          <w:rFonts w:cs="Arial"/>
          <w:bCs/>
          <w:szCs w:val="24"/>
        </w:rPr>
        <w:t>m</w:t>
      </w:r>
      <w:r w:rsidR="0011774B">
        <w:rPr>
          <w:rFonts w:cs="Arial"/>
          <w:bCs/>
          <w:szCs w:val="24"/>
        </w:rPr>
        <w:t>)</w:t>
      </w:r>
      <w:r w:rsidR="007A4934">
        <w:rPr>
          <w:rFonts w:cs="Arial"/>
          <w:bCs/>
          <w:szCs w:val="24"/>
        </w:rPr>
        <w:t xml:space="preserve"> </w:t>
      </w:r>
      <w:r w:rsidR="00B40346">
        <w:rPr>
          <w:rFonts w:cs="Arial"/>
          <w:bCs/>
          <w:szCs w:val="24"/>
        </w:rPr>
        <w:t>relates to the following:</w:t>
      </w:r>
    </w:p>
    <w:p w14:paraId="1EFF4194" w14:textId="77777777" w:rsidR="00CF3D7F" w:rsidRPr="00207C16" w:rsidRDefault="00CF3D7F" w:rsidP="00825AC5">
      <w:pPr>
        <w:pStyle w:val="ListParagraph"/>
        <w:jc w:val="both"/>
        <w:rPr>
          <w:rFonts w:cs="Arial"/>
          <w:szCs w:val="24"/>
        </w:rPr>
      </w:pPr>
    </w:p>
    <w:p w14:paraId="6147EA95" w14:textId="7F0D64A0" w:rsidR="00CF3D7F" w:rsidRDefault="00CF3D7F" w:rsidP="00825AC5">
      <w:pPr>
        <w:pStyle w:val="ListParagraph"/>
        <w:numPr>
          <w:ilvl w:val="0"/>
          <w:numId w:val="62"/>
        </w:numPr>
        <w:tabs>
          <w:tab w:val="left" w:pos="567"/>
        </w:tabs>
        <w:ind w:left="851" w:hanging="284"/>
        <w:jc w:val="both"/>
        <w:rPr>
          <w:rFonts w:cs="Arial"/>
          <w:szCs w:val="24"/>
        </w:rPr>
      </w:pPr>
      <w:r w:rsidRPr="00CF3D7F">
        <w:rPr>
          <w:rFonts w:cs="Arial"/>
          <w:szCs w:val="24"/>
        </w:rPr>
        <w:t xml:space="preserve">Investment properties </w:t>
      </w:r>
      <w:r w:rsidR="00F15BBF">
        <w:rPr>
          <w:rFonts w:cs="Arial"/>
          <w:szCs w:val="24"/>
        </w:rPr>
        <w:t>£</w:t>
      </w:r>
      <w:r w:rsidRPr="00CF3D7F">
        <w:rPr>
          <w:rFonts w:cs="Arial"/>
          <w:szCs w:val="24"/>
        </w:rPr>
        <w:t>9</w:t>
      </w:r>
      <w:r w:rsidR="00A4003C">
        <w:rPr>
          <w:rFonts w:cs="Arial"/>
          <w:szCs w:val="24"/>
        </w:rPr>
        <w:t>4.101</w:t>
      </w:r>
      <w:r w:rsidRPr="00CF3D7F">
        <w:rPr>
          <w:rFonts w:cs="Arial"/>
          <w:szCs w:val="24"/>
        </w:rPr>
        <w:t xml:space="preserve">m slippage reflects an ongoing </w:t>
      </w:r>
      <w:r w:rsidR="00C26989">
        <w:rPr>
          <w:rFonts w:cs="Arial"/>
          <w:szCs w:val="24"/>
        </w:rPr>
        <w:t>Commercial I</w:t>
      </w:r>
      <w:r w:rsidRPr="00CF3D7F">
        <w:rPr>
          <w:rFonts w:cs="Arial"/>
          <w:szCs w:val="24"/>
        </w:rPr>
        <w:t>nvestment programme</w:t>
      </w:r>
      <w:r w:rsidR="006E1B96" w:rsidRPr="00CF3D7F">
        <w:rPr>
          <w:rFonts w:cs="Arial"/>
          <w:szCs w:val="24"/>
        </w:rPr>
        <w:t>; funds</w:t>
      </w:r>
      <w:r w:rsidRPr="00CF3D7F">
        <w:rPr>
          <w:rFonts w:cs="Arial"/>
          <w:szCs w:val="24"/>
        </w:rPr>
        <w:t xml:space="preserve"> will be released as and when investments opportunities emerge</w:t>
      </w:r>
      <w:r>
        <w:rPr>
          <w:rFonts w:cs="Arial"/>
          <w:szCs w:val="24"/>
        </w:rPr>
        <w:t>.</w:t>
      </w:r>
    </w:p>
    <w:p w14:paraId="7A38E74E" w14:textId="77777777" w:rsidR="00CF3D7F" w:rsidRPr="00207C16" w:rsidRDefault="00CF3D7F" w:rsidP="00825AC5">
      <w:pPr>
        <w:pStyle w:val="ListParagraph"/>
        <w:jc w:val="both"/>
        <w:rPr>
          <w:rFonts w:cs="Arial"/>
          <w:szCs w:val="24"/>
        </w:rPr>
      </w:pPr>
    </w:p>
    <w:p w14:paraId="423D68BB" w14:textId="33BCAC8B" w:rsidR="00CF3D7F" w:rsidRPr="00825AC5" w:rsidRDefault="00CF3D7F" w:rsidP="00825AC5">
      <w:pPr>
        <w:pStyle w:val="ListParagraph"/>
        <w:numPr>
          <w:ilvl w:val="0"/>
          <w:numId w:val="62"/>
        </w:numPr>
        <w:tabs>
          <w:tab w:val="left" w:pos="567"/>
        </w:tabs>
        <w:ind w:left="851" w:hanging="284"/>
        <w:jc w:val="both"/>
        <w:rPr>
          <w:rFonts w:cs="Arial"/>
          <w:szCs w:val="24"/>
        </w:rPr>
      </w:pPr>
      <w:r w:rsidRPr="00A81783">
        <w:rPr>
          <w:rFonts w:cs="Arial"/>
          <w:szCs w:val="24"/>
          <w:lang w:val="en-US"/>
        </w:rPr>
        <w:t xml:space="preserve">Delayed spend on the Enterprise Resource Planning System of </w:t>
      </w:r>
      <w:r w:rsidRPr="00825AC5">
        <w:rPr>
          <w:rFonts w:cs="Arial"/>
          <w:szCs w:val="24"/>
          <w:lang w:val="en-US"/>
        </w:rPr>
        <w:t>£1.75</w:t>
      </w:r>
      <w:r w:rsidR="007A4934" w:rsidRPr="00825AC5">
        <w:rPr>
          <w:rFonts w:cs="Arial"/>
          <w:szCs w:val="24"/>
          <w:lang w:val="en-US"/>
        </w:rPr>
        <w:t>0</w:t>
      </w:r>
      <w:r w:rsidRPr="00825AC5">
        <w:rPr>
          <w:rFonts w:cs="Arial"/>
          <w:szCs w:val="24"/>
          <w:lang w:val="en-US"/>
        </w:rPr>
        <w:t>m which is due to re-scoping of the system’s requirements.</w:t>
      </w:r>
    </w:p>
    <w:p w14:paraId="47071F93" w14:textId="77777777" w:rsidR="007A4934" w:rsidRPr="0021339E" w:rsidRDefault="007A4934" w:rsidP="00825AC5">
      <w:pPr>
        <w:pStyle w:val="ListParagraph"/>
        <w:jc w:val="both"/>
        <w:rPr>
          <w:rFonts w:cs="Arial"/>
          <w:szCs w:val="24"/>
        </w:rPr>
      </w:pPr>
    </w:p>
    <w:p w14:paraId="302643E3" w14:textId="6132B19E" w:rsidR="007A4934" w:rsidRDefault="007A4934" w:rsidP="00825AC5">
      <w:pPr>
        <w:pStyle w:val="ListParagraph"/>
        <w:numPr>
          <w:ilvl w:val="0"/>
          <w:numId w:val="62"/>
        </w:numPr>
        <w:tabs>
          <w:tab w:val="left" w:pos="567"/>
        </w:tabs>
        <w:ind w:left="851" w:hanging="284"/>
        <w:jc w:val="both"/>
        <w:rPr>
          <w:rFonts w:cs="Arial"/>
          <w:szCs w:val="24"/>
        </w:rPr>
      </w:pPr>
      <w:r>
        <w:rPr>
          <w:rFonts w:cs="Arial"/>
          <w:szCs w:val="24"/>
        </w:rPr>
        <w:t xml:space="preserve">£1m budget </w:t>
      </w:r>
      <w:r w:rsidR="008936FD">
        <w:rPr>
          <w:rFonts w:cs="Arial"/>
          <w:szCs w:val="24"/>
        </w:rPr>
        <w:t xml:space="preserve">was </w:t>
      </w:r>
      <w:r>
        <w:rPr>
          <w:rFonts w:cs="Arial"/>
          <w:szCs w:val="24"/>
        </w:rPr>
        <w:t>set aside for council wide projects</w:t>
      </w:r>
      <w:r w:rsidR="0064401C">
        <w:rPr>
          <w:rFonts w:cs="Arial"/>
          <w:szCs w:val="24"/>
        </w:rPr>
        <w:t xml:space="preserve"> at the closing of 2018/19 financial year</w:t>
      </w:r>
      <w:r w:rsidR="00BE4B31">
        <w:rPr>
          <w:rFonts w:cs="Arial"/>
          <w:szCs w:val="24"/>
        </w:rPr>
        <w:t xml:space="preserve"> and £5</w:t>
      </w:r>
      <w:r>
        <w:rPr>
          <w:rFonts w:cs="Arial"/>
          <w:szCs w:val="24"/>
        </w:rPr>
        <w:t>00k will be request</w:t>
      </w:r>
      <w:r w:rsidR="009E4439">
        <w:rPr>
          <w:rFonts w:cs="Arial"/>
          <w:szCs w:val="24"/>
        </w:rPr>
        <w:t>ed</w:t>
      </w:r>
      <w:r>
        <w:rPr>
          <w:rFonts w:cs="Arial"/>
          <w:szCs w:val="24"/>
        </w:rPr>
        <w:t xml:space="preserve"> to </w:t>
      </w:r>
      <w:r w:rsidR="000F6980">
        <w:rPr>
          <w:rFonts w:cs="Arial"/>
          <w:szCs w:val="24"/>
        </w:rPr>
        <w:t>slip</w:t>
      </w:r>
      <w:r>
        <w:rPr>
          <w:rFonts w:cs="Arial"/>
          <w:szCs w:val="24"/>
        </w:rPr>
        <w:t xml:space="preserve"> </w:t>
      </w:r>
      <w:r w:rsidR="009E4439">
        <w:rPr>
          <w:rFonts w:cs="Arial"/>
          <w:szCs w:val="24"/>
        </w:rPr>
        <w:t>in</w:t>
      </w:r>
      <w:r>
        <w:rPr>
          <w:rFonts w:cs="Arial"/>
          <w:szCs w:val="24"/>
        </w:rPr>
        <w:t>to 2020/21.</w:t>
      </w:r>
    </w:p>
    <w:p w14:paraId="47F9B3D3" w14:textId="77777777" w:rsidR="007A4934" w:rsidRPr="0021339E" w:rsidRDefault="007A4934" w:rsidP="00825AC5">
      <w:pPr>
        <w:pStyle w:val="ListParagraph"/>
        <w:jc w:val="both"/>
        <w:rPr>
          <w:rFonts w:cs="Arial"/>
          <w:szCs w:val="24"/>
        </w:rPr>
      </w:pPr>
    </w:p>
    <w:p w14:paraId="5C01B13F" w14:textId="40C43595" w:rsidR="007A4934" w:rsidRDefault="007A4934">
      <w:pPr>
        <w:pStyle w:val="ListParagraph"/>
        <w:numPr>
          <w:ilvl w:val="0"/>
          <w:numId w:val="22"/>
        </w:numPr>
        <w:tabs>
          <w:tab w:val="left" w:pos="567"/>
        </w:tabs>
        <w:ind w:left="567" w:hanging="567"/>
        <w:jc w:val="both"/>
        <w:rPr>
          <w:rFonts w:cs="Arial"/>
          <w:szCs w:val="24"/>
        </w:rPr>
      </w:pPr>
      <w:r w:rsidRPr="007A4934">
        <w:rPr>
          <w:rFonts w:cs="Arial"/>
          <w:szCs w:val="24"/>
        </w:rPr>
        <w:t>There are no revenue budget implications associated with these slippages</w:t>
      </w:r>
      <w:r>
        <w:rPr>
          <w:rFonts w:cs="Arial"/>
          <w:szCs w:val="24"/>
        </w:rPr>
        <w:t>.</w:t>
      </w:r>
    </w:p>
    <w:p w14:paraId="37735A94" w14:textId="77777777" w:rsidR="00755973" w:rsidRPr="00A81783" w:rsidRDefault="00755973" w:rsidP="00825AC5">
      <w:pPr>
        <w:pStyle w:val="ListParagraph"/>
        <w:rPr>
          <w:rFonts w:cs="Arial"/>
          <w:szCs w:val="24"/>
        </w:rPr>
      </w:pPr>
    </w:p>
    <w:p w14:paraId="1F666D14" w14:textId="77777777" w:rsidR="00755973" w:rsidRDefault="00755973" w:rsidP="00825AC5">
      <w:pPr>
        <w:pStyle w:val="ListParagraph"/>
        <w:tabs>
          <w:tab w:val="left" w:pos="567"/>
        </w:tabs>
        <w:ind w:left="567"/>
        <w:jc w:val="both"/>
        <w:rPr>
          <w:rFonts w:cs="Arial"/>
          <w:szCs w:val="24"/>
        </w:rPr>
      </w:pPr>
    </w:p>
    <w:p w14:paraId="74B75AF2" w14:textId="77777777" w:rsidR="00B329CE" w:rsidRPr="00221D9F" w:rsidRDefault="00B329CE">
      <w:pPr>
        <w:ind w:firstLine="567"/>
        <w:jc w:val="both"/>
        <w:rPr>
          <w:rFonts w:cs="Arial"/>
          <w:b/>
          <w:szCs w:val="24"/>
          <w:u w:val="single"/>
          <w:lang w:val="en-US"/>
        </w:rPr>
      </w:pPr>
      <w:r w:rsidRPr="009E4B36">
        <w:rPr>
          <w:rFonts w:cs="Arial"/>
          <w:b/>
          <w:szCs w:val="24"/>
          <w:u w:val="single"/>
          <w:lang w:val="en-US"/>
        </w:rPr>
        <w:t xml:space="preserve">COMMUNITY </w:t>
      </w:r>
    </w:p>
    <w:p w14:paraId="3928FEBC" w14:textId="6EE4BF4A" w:rsidR="00C57DF6" w:rsidRPr="007C0D59" w:rsidRDefault="00C57DF6">
      <w:pPr>
        <w:pStyle w:val="ListParagraph"/>
        <w:numPr>
          <w:ilvl w:val="0"/>
          <w:numId w:val="22"/>
        </w:numPr>
        <w:tabs>
          <w:tab w:val="left" w:pos="567"/>
        </w:tabs>
        <w:ind w:left="567" w:hanging="567"/>
        <w:jc w:val="both"/>
        <w:rPr>
          <w:rFonts w:cs="Arial"/>
          <w:szCs w:val="24"/>
        </w:rPr>
      </w:pPr>
      <w:r w:rsidRPr="007C0D59">
        <w:rPr>
          <w:rFonts w:cs="Arial"/>
          <w:bCs/>
          <w:szCs w:val="24"/>
        </w:rPr>
        <w:t xml:space="preserve">As at Quarter </w:t>
      </w:r>
      <w:r w:rsidR="00B4366D">
        <w:rPr>
          <w:rFonts w:cs="Arial"/>
          <w:bCs/>
          <w:szCs w:val="24"/>
        </w:rPr>
        <w:t>2</w:t>
      </w:r>
      <w:r w:rsidRPr="007C0D59">
        <w:rPr>
          <w:rFonts w:cs="Arial"/>
          <w:bCs/>
          <w:szCs w:val="24"/>
        </w:rPr>
        <w:t xml:space="preserve"> the Community Directorate is forecasting overall spend of £</w:t>
      </w:r>
      <w:r w:rsidR="00A4003C">
        <w:rPr>
          <w:rFonts w:cs="Arial"/>
          <w:bCs/>
          <w:szCs w:val="24"/>
        </w:rPr>
        <w:t>59.818</w:t>
      </w:r>
      <w:r w:rsidRPr="007C0D59">
        <w:rPr>
          <w:rFonts w:cs="Arial"/>
          <w:bCs/>
          <w:szCs w:val="24"/>
        </w:rPr>
        <w:t>m</w:t>
      </w:r>
      <w:r w:rsidR="00BE4B31">
        <w:rPr>
          <w:rFonts w:cs="Arial"/>
          <w:bCs/>
          <w:szCs w:val="24"/>
        </w:rPr>
        <w:t xml:space="preserve"> (53%).</w:t>
      </w:r>
    </w:p>
    <w:p w14:paraId="74C13FB2" w14:textId="77777777" w:rsidR="0015034B" w:rsidRPr="007C0D59" w:rsidRDefault="0015034B">
      <w:pPr>
        <w:pStyle w:val="ListParagraph"/>
        <w:tabs>
          <w:tab w:val="left" w:pos="709"/>
        </w:tabs>
        <w:ind w:left="709"/>
        <w:jc w:val="both"/>
        <w:rPr>
          <w:rFonts w:cs="Arial"/>
          <w:szCs w:val="24"/>
        </w:rPr>
      </w:pPr>
    </w:p>
    <w:p w14:paraId="34B581DB" w14:textId="09DD124D" w:rsidR="0015034B" w:rsidRPr="007C0D59" w:rsidRDefault="0015034B">
      <w:pPr>
        <w:pStyle w:val="ListParagraph"/>
        <w:numPr>
          <w:ilvl w:val="0"/>
          <w:numId w:val="22"/>
        </w:numPr>
        <w:tabs>
          <w:tab w:val="left" w:pos="567"/>
        </w:tabs>
        <w:ind w:left="567" w:hanging="567"/>
        <w:jc w:val="both"/>
        <w:rPr>
          <w:rFonts w:cs="Arial"/>
          <w:szCs w:val="24"/>
        </w:rPr>
      </w:pPr>
      <w:r w:rsidRPr="007C0D59">
        <w:rPr>
          <w:rFonts w:cs="Arial"/>
          <w:bCs/>
          <w:szCs w:val="24"/>
        </w:rPr>
        <w:t xml:space="preserve">The forecast variance </w:t>
      </w:r>
      <w:r w:rsidR="008936FD">
        <w:rPr>
          <w:rFonts w:cs="Arial"/>
          <w:bCs/>
          <w:szCs w:val="24"/>
        </w:rPr>
        <w:t>of</w:t>
      </w:r>
      <w:r w:rsidRPr="007C0D59">
        <w:rPr>
          <w:rFonts w:cs="Arial"/>
          <w:bCs/>
          <w:szCs w:val="24"/>
        </w:rPr>
        <w:t xml:space="preserve"> (£</w:t>
      </w:r>
      <w:r w:rsidR="00DE07EE">
        <w:rPr>
          <w:rFonts w:cs="Arial"/>
          <w:bCs/>
          <w:szCs w:val="24"/>
        </w:rPr>
        <w:t>5</w:t>
      </w:r>
      <w:r w:rsidR="00A4003C">
        <w:rPr>
          <w:rFonts w:cs="Arial"/>
          <w:bCs/>
          <w:szCs w:val="24"/>
        </w:rPr>
        <w:t>3.75</w:t>
      </w:r>
      <w:r w:rsidR="00A4186E">
        <w:rPr>
          <w:rFonts w:cs="Arial"/>
          <w:bCs/>
          <w:szCs w:val="24"/>
        </w:rPr>
        <w:t>1</w:t>
      </w:r>
      <w:r w:rsidRPr="007C0D59">
        <w:rPr>
          <w:rFonts w:cs="Arial"/>
          <w:bCs/>
          <w:szCs w:val="24"/>
        </w:rPr>
        <w:t>m</w:t>
      </w:r>
      <w:r w:rsidR="003634DA" w:rsidRPr="007C0D59">
        <w:rPr>
          <w:rFonts w:cs="Arial"/>
          <w:bCs/>
          <w:szCs w:val="24"/>
        </w:rPr>
        <w:t>)</w:t>
      </w:r>
      <w:r w:rsidRPr="007C0D59">
        <w:rPr>
          <w:rFonts w:cs="Arial"/>
          <w:bCs/>
          <w:szCs w:val="24"/>
        </w:rPr>
        <w:t xml:space="preserve"> </w:t>
      </w:r>
      <w:r w:rsidR="006F5336">
        <w:rPr>
          <w:rFonts w:cs="Arial"/>
          <w:bCs/>
          <w:szCs w:val="24"/>
        </w:rPr>
        <w:t>is planned</w:t>
      </w:r>
      <w:r w:rsidR="009E4439">
        <w:rPr>
          <w:rFonts w:cs="Arial"/>
          <w:bCs/>
          <w:szCs w:val="24"/>
        </w:rPr>
        <w:t xml:space="preserve"> to be </w:t>
      </w:r>
      <w:r w:rsidRPr="007C0D59">
        <w:rPr>
          <w:rFonts w:cs="Arial"/>
          <w:bCs/>
          <w:szCs w:val="24"/>
        </w:rPr>
        <w:t xml:space="preserve">slipped </w:t>
      </w:r>
      <w:r w:rsidR="009E4439">
        <w:rPr>
          <w:rFonts w:cs="Arial"/>
          <w:bCs/>
          <w:szCs w:val="24"/>
        </w:rPr>
        <w:t>in</w:t>
      </w:r>
      <w:r w:rsidRPr="007C0D59">
        <w:rPr>
          <w:rFonts w:cs="Arial"/>
          <w:bCs/>
          <w:szCs w:val="24"/>
        </w:rPr>
        <w:t>to 2020/21</w:t>
      </w:r>
      <w:r w:rsidR="008936FD">
        <w:rPr>
          <w:rFonts w:cs="Arial"/>
          <w:bCs/>
          <w:szCs w:val="24"/>
        </w:rPr>
        <w:t xml:space="preserve"> and £920k underspend can be removed from the Capital Programme</w:t>
      </w:r>
      <w:r w:rsidR="004E719D" w:rsidRPr="007C0D59">
        <w:rPr>
          <w:rFonts w:cs="Arial"/>
          <w:bCs/>
          <w:szCs w:val="24"/>
        </w:rPr>
        <w:t>.</w:t>
      </w:r>
      <w:r w:rsidRPr="007C0D59">
        <w:rPr>
          <w:rFonts w:cs="Arial"/>
          <w:bCs/>
          <w:szCs w:val="24"/>
        </w:rPr>
        <w:t xml:space="preserve">  The main items of slippage  are detailed below:</w:t>
      </w:r>
    </w:p>
    <w:p w14:paraId="1A9B216F" w14:textId="77777777" w:rsidR="00CB7A10" w:rsidRPr="007C0D59" w:rsidRDefault="00CB7A10">
      <w:pPr>
        <w:pStyle w:val="ListParagraph"/>
        <w:jc w:val="both"/>
        <w:rPr>
          <w:rFonts w:cs="Arial"/>
          <w:szCs w:val="24"/>
        </w:rPr>
      </w:pPr>
    </w:p>
    <w:p w14:paraId="140E373F" w14:textId="56787739" w:rsidR="006D376F" w:rsidRPr="003634DA" w:rsidRDefault="006D376F">
      <w:pPr>
        <w:pStyle w:val="ListParagraph"/>
        <w:ind w:left="567"/>
        <w:jc w:val="both"/>
        <w:rPr>
          <w:rFonts w:cs="Arial"/>
          <w:szCs w:val="24"/>
          <w:u w:val="single"/>
        </w:rPr>
      </w:pPr>
      <w:r w:rsidRPr="003634DA">
        <w:rPr>
          <w:rFonts w:cs="Arial"/>
          <w:szCs w:val="24"/>
          <w:u w:val="single"/>
        </w:rPr>
        <w:t>Commissioning and Environment &amp; Culture</w:t>
      </w:r>
    </w:p>
    <w:p w14:paraId="29A402DA" w14:textId="0951941D" w:rsidR="006D376F" w:rsidRPr="007C0D59" w:rsidRDefault="006D376F">
      <w:pPr>
        <w:pStyle w:val="ListParagraph"/>
        <w:numPr>
          <w:ilvl w:val="0"/>
          <w:numId w:val="22"/>
        </w:numPr>
        <w:tabs>
          <w:tab w:val="left" w:pos="567"/>
        </w:tabs>
        <w:ind w:left="567" w:hanging="567"/>
        <w:jc w:val="both"/>
        <w:rPr>
          <w:rFonts w:cs="Arial"/>
          <w:szCs w:val="24"/>
        </w:rPr>
      </w:pPr>
      <w:r w:rsidRPr="007C0D59">
        <w:rPr>
          <w:rFonts w:cs="Arial"/>
          <w:szCs w:val="24"/>
        </w:rPr>
        <w:t>The services fo</w:t>
      </w:r>
      <w:r w:rsidR="00FD03D6">
        <w:rPr>
          <w:rFonts w:cs="Arial"/>
          <w:szCs w:val="24"/>
        </w:rPr>
        <w:t>recast to spend £</w:t>
      </w:r>
      <w:r w:rsidR="005577B8">
        <w:rPr>
          <w:rFonts w:cs="Arial"/>
          <w:szCs w:val="24"/>
        </w:rPr>
        <w:t>38.757</w:t>
      </w:r>
      <w:r w:rsidRPr="007C0D59">
        <w:rPr>
          <w:rFonts w:cs="Arial"/>
          <w:szCs w:val="24"/>
        </w:rPr>
        <w:t>m in 201</w:t>
      </w:r>
      <w:r w:rsidR="009340D2">
        <w:rPr>
          <w:rFonts w:cs="Arial"/>
          <w:szCs w:val="24"/>
        </w:rPr>
        <w:t>9/20 and to slip a budget of £</w:t>
      </w:r>
      <w:r w:rsidR="005577B8">
        <w:rPr>
          <w:rFonts w:cs="Arial"/>
          <w:szCs w:val="24"/>
        </w:rPr>
        <w:t>23.860m</w:t>
      </w:r>
      <w:r w:rsidRPr="007C0D59">
        <w:rPr>
          <w:rFonts w:cs="Arial"/>
          <w:szCs w:val="24"/>
        </w:rPr>
        <w:t xml:space="preserve"> to 2020/21.</w:t>
      </w:r>
    </w:p>
    <w:p w14:paraId="01BE6908" w14:textId="77777777" w:rsidR="006D376F" w:rsidRPr="007C0D59" w:rsidRDefault="006D376F">
      <w:pPr>
        <w:pStyle w:val="ListParagraph"/>
        <w:jc w:val="both"/>
        <w:rPr>
          <w:rFonts w:cs="Arial"/>
          <w:szCs w:val="24"/>
        </w:rPr>
      </w:pPr>
    </w:p>
    <w:p w14:paraId="4E442290" w14:textId="7254725C" w:rsidR="00CC258C" w:rsidRDefault="00CC258C">
      <w:pPr>
        <w:pStyle w:val="ListParagraph"/>
        <w:numPr>
          <w:ilvl w:val="0"/>
          <w:numId w:val="22"/>
        </w:numPr>
        <w:ind w:left="567" w:hanging="567"/>
        <w:jc w:val="both"/>
        <w:rPr>
          <w:rFonts w:cs="Arial"/>
          <w:szCs w:val="24"/>
        </w:rPr>
      </w:pPr>
      <w:r w:rsidRPr="007C0D59">
        <w:rPr>
          <w:rFonts w:cs="Arial"/>
          <w:szCs w:val="24"/>
        </w:rPr>
        <w:t xml:space="preserve">There is a budget allocation of </w:t>
      </w:r>
      <w:r w:rsidR="00382956">
        <w:rPr>
          <w:rFonts w:cs="Arial"/>
          <w:szCs w:val="24"/>
        </w:rPr>
        <w:t>£</w:t>
      </w:r>
      <w:r w:rsidRPr="007C0D59">
        <w:rPr>
          <w:rFonts w:cs="Arial"/>
          <w:szCs w:val="24"/>
        </w:rPr>
        <w:t>150</w:t>
      </w:r>
      <w:r w:rsidR="00382956">
        <w:rPr>
          <w:rFonts w:cs="Arial"/>
          <w:szCs w:val="24"/>
        </w:rPr>
        <w:t>k</w:t>
      </w:r>
      <w:r w:rsidRPr="007C0D59">
        <w:rPr>
          <w:rFonts w:cs="Arial"/>
          <w:szCs w:val="24"/>
        </w:rPr>
        <w:t xml:space="preserve"> for the refurbishment of libraries, the cost of which is assumed to be funded from NCIL. Project planning and engagement with relevant ward councillors are planned to be undertaken in the latter part of the financial year, with refurbishment work anticipated in 2020/21. Therefore</w:t>
      </w:r>
      <w:r w:rsidR="00292AEE">
        <w:rPr>
          <w:rFonts w:cs="Arial"/>
          <w:szCs w:val="24"/>
        </w:rPr>
        <w:t xml:space="preserve">, </w:t>
      </w:r>
      <w:r w:rsidR="00292AEE" w:rsidRPr="007C0D59">
        <w:rPr>
          <w:rFonts w:cs="Arial"/>
          <w:szCs w:val="24"/>
        </w:rPr>
        <w:t>the</w:t>
      </w:r>
      <w:r w:rsidRPr="007C0D59">
        <w:rPr>
          <w:rFonts w:cs="Arial"/>
          <w:szCs w:val="24"/>
        </w:rPr>
        <w:t xml:space="preserve"> budget is slipped to 2020/21. </w:t>
      </w:r>
      <w:r w:rsidR="00EB7100">
        <w:rPr>
          <w:rFonts w:cs="Arial"/>
          <w:szCs w:val="24"/>
        </w:rPr>
        <w:t>The slippage has</w:t>
      </w:r>
      <w:r w:rsidR="00EB7100" w:rsidRPr="00EB7100">
        <w:rPr>
          <w:rFonts w:cs="Arial"/>
          <w:szCs w:val="24"/>
        </w:rPr>
        <w:t xml:space="preserve"> no implications on the revenue budget</w:t>
      </w:r>
      <w:r w:rsidR="00EB7100">
        <w:rPr>
          <w:rFonts w:cs="Arial"/>
          <w:szCs w:val="24"/>
        </w:rPr>
        <w:t>.</w:t>
      </w:r>
    </w:p>
    <w:p w14:paraId="0B28CE93" w14:textId="77777777" w:rsidR="005577B8" w:rsidRPr="005577B8" w:rsidRDefault="005577B8" w:rsidP="00825AC5">
      <w:pPr>
        <w:pStyle w:val="ListParagraph"/>
        <w:jc w:val="both"/>
        <w:rPr>
          <w:rFonts w:cs="Arial"/>
          <w:szCs w:val="24"/>
        </w:rPr>
      </w:pPr>
    </w:p>
    <w:p w14:paraId="0FF6D3D2" w14:textId="5BCD9982" w:rsidR="005577B8" w:rsidRDefault="005577B8">
      <w:pPr>
        <w:pStyle w:val="ListParagraph"/>
        <w:numPr>
          <w:ilvl w:val="0"/>
          <w:numId w:val="22"/>
        </w:numPr>
        <w:ind w:left="567" w:hanging="567"/>
        <w:jc w:val="both"/>
        <w:rPr>
          <w:rFonts w:cs="Arial"/>
          <w:szCs w:val="24"/>
        </w:rPr>
      </w:pPr>
      <w:r w:rsidRPr="005577B8">
        <w:rPr>
          <w:rFonts w:cs="Arial"/>
          <w:szCs w:val="24"/>
        </w:rPr>
        <w:t>Health &amp; Safety priority works for library buildings</w:t>
      </w:r>
      <w:r w:rsidR="000E2117">
        <w:rPr>
          <w:rFonts w:cs="Arial"/>
          <w:szCs w:val="24"/>
        </w:rPr>
        <w:t xml:space="preserve"> are being progressed using £200k</w:t>
      </w:r>
      <w:r w:rsidRPr="005577B8">
        <w:rPr>
          <w:rFonts w:cs="Arial"/>
          <w:szCs w:val="24"/>
        </w:rPr>
        <w:t xml:space="preserve"> budget allocated in 2019/20. Works have been identified at various library sites, one of which relates to window replacements at Kenton Library.  As Kenton Library is a Grade II listed building, a listed building consent will need to be obtained before commencing the work. It is anticipated that work orders can be placed in the latter part of this financial year and full completion in t</w:t>
      </w:r>
      <w:r w:rsidR="000E2117">
        <w:rPr>
          <w:rFonts w:cs="Arial"/>
          <w:szCs w:val="24"/>
        </w:rPr>
        <w:t>he following year. Therefore £164k</w:t>
      </w:r>
      <w:r w:rsidRPr="005577B8">
        <w:rPr>
          <w:rFonts w:cs="Arial"/>
          <w:szCs w:val="24"/>
        </w:rPr>
        <w:t xml:space="preserve"> is forecast to be slipped in 2020/21.  The slippage has no implications on the revenue budget</w:t>
      </w:r>
      <w:r>
        <w:rPr>
          <w:rFonts w:cs="Arial"/>
          <w:szCs w:val="24"/>
        </w:rPr>
        <w:t>.</w:t>
      </w:r>
    </w:p>
    <w:p w14:paraId="2AB6CB83" w14:textId="77777777" w:rsidR="005577B8" w:rsidRPr="005577B8" w:rsidRDefault="005577B8" w:rsidP="00825AC5">
      <w:pPr>
        <w:pStyle w:val="ListParagraph"/>
        <w:jc w:val="both"/>
        <w:rPr>
          <w:rFonts w:cs="Arial"/>
          <w:szCs w:val="24"/>
        </w:rPr>
      </w:pPr>
    </w:p>
    <w:p w14:paraId="7BBC2228" w14:textId="6FDC8CAB" w:rsidR="005577B8" w:rsidRDefault="005577B8">
      <w:pPr>
        <w:pStyle w:val="ListParagraph"/>
        <w:numPr>
          <w:ilvl w:val="0"/>
          <w:numId w:val="22"/>
        </w:numPr>
        <w:ind w:left="567" w:hanging="567"/>
        <w:jc w:val="both"/>
        <w:rPr>
          <w:rFonts w:cs="Arial"/>
          <w:szCs w:val="24"/>
        </w:rPr>
      </w:pPr>
      <w:r w:rsidRPr="005577B8">
        <w:rPr>
          <w:rFonts w:cs="Arial"/>
          <w:szCs w:val="24"/>
        </w:rPr>
        <w:t>The building improvement works at Harrow Arts Centre (HAC) has a budget al</w:t>
      </w:r>
      <w:r w:rsidR="0057166B">
        <w:rPr>
          <w:rFonts w:cs="Arial"/>
          <w:szCs w:val="24"/>
        </w:rPr>
        <w:t xml:space="preserve">location of £1.488m in 2019/20 </w:t>
      </w:r>
      <w:r w:rsidR="00BE4B31">
        <w:rPr>
          <w:rFonts w:cs="Arial"/>
          <w:szCs w:val="24"/>
        </w:rPr>
        <w:t>which is</w:t>
      </w:r>
      <w:r w:rsidR="0057166B">
        <w:rPr>
          <w:rFonts w:cs="Arial"/>
          <w:szCs w:val="24"/>
        </w:rPr>
        <w:t xml:space="preserve"> </w:t>
      </w:r>
      <w:r w:rsidRPr="005577B8">
        <w:rPr>
          <w:rFonts w:cs="Arial"/>
          <w:szCs w:val="24"/>
        </w:rPr>
        <w:t>funded from GLA Good Growth Fund and BCIL. The Masterplan now sets out the delivery of purpose built buildings rather than modular units as originally planned, which has contributed to the delay in the construction works. A two month slippage is expected on the refurbishment of the r</w:t>
      </w:r>
      <w:r w:rsidR="0057166B">
        <w:rPr>
          <w:rFonts w:cs="Arial"/>
          <w:szCs w:val="24"/>
        </w:rPr>
        <w:t>edundant buildings due</w:t>
      </w:r>
      <w:r w:rsidRPr="005577B8">
        <w:rPr>
          <w:rFonts w:cs="Arial"/>
          <w:szCs w:val="24"/>
        </w:rPr>
        <w:t xml:space="preserve"> to the planning application process f</w:t>
      </w:r>
      <w:r w:rsidR="0057166B">
        <w:rPr>
          <w:rFonts w:cs="Arial"/>
          <w:szCs w:val="24"/>
        </w:rPr>
        <w:t>or these buildings.  T</w:t>
      </w:r>
      <w:r w:rsidRPr="005577B8">
        <w:rPr>
          <w:rFonts w:cs="Arial"/>
          <w:szCs w:val="24"/>
        </w:rPr>
        <w:t>he budget</w:t>
      </w:r>
      <w:r w:rsidR="0057166B">
        <w:rPr>
          <w:rFonts w:cs="Arial"/>
          <w:szCs w:val="24"/>
        </w:rPr>
        <w:t xml:space="preserve"> therefore</w:t>
      </w:r>
      <w:r w:rsidRPr="005577B8">
        <w:rPr>
          <w:rFonts w:cs="Arial"/>
          <w:szCs w:val="24"/>
        </w:rPr>
        <w:t xml:space="preserve"> needs to be re-profiled based on the updated mi</w:t>
      </w:r>
      <w:r w:rsidR="000E2117">
        <w:rPr>
          <w:rFonts w:cs="Arial"/>
          <w:szCs w:val="24"/>
        </w:rPr>
        <w:t>lestones of the project, and £</w:t>
      </w:r>
      <w:r w:rsidRPr="005577B8">
        <w:rPr>
          <w:rFonts w:cs="Arial"/>
          <w:szCs w:val="24"/>
        </w:rPr>
        <w:t>583</w:t>
      </w:r>
      <w:r w:rsidR="000E2117">
        <w:rPr>
          <w:rFonts w:cs="Arial"/>
          <w:szCs w:val="24"/>
        </w:rPr>
        <w:t>k</w:t>
      </w:r>
      <w:r w:rsidRPr="005577B8">
        <w:rPr>
          <w:rFonts w:cs="Arial"/>
          <w:szCs w:val="24"/>
        </w:rPr>
        <w:t xml:space="preserve"> is forecast to be slipped to 2020/21. A partial achievement of this year’s MTFS target for HAC is due to the delay in the construction work and this is included in the revenue forecast within Community</w:t>
      </w:r>
      <w:r>
        <w:rPr>
          <w:rFonts w:cs="Arial"/>
          <w:szCs w:val="24"/>
        </w:rPr>
        <w:t>.</w:t>
      </w:r>
    </w:p>
    <w:p w14:paraId="02F3BA1C" w14:textId="77777777" w:rsidR="005577B8" w:rsidRPr="005577B8" w:rsidRDefault="005577B8" w:rsidP="00825AC5">
      <w:pPr>
        <w:pStyle w:val="ListParagraph"/>
        <w:jc w:val="both"/>
        <w:rPr>
          <w:rFonts w:cs="Arial"/>
          <w:szCs w:val="24"/>
        </w:rPr>
      </w:pPr>
    </w:p>
    <w:p w14:paraId="4B08A0DF" w14:textId="77883984" w:rsidR="005577B8" w:rsidRDefault="005577B8">
      <w:pPr>
        <w:pStyle w:val="ListParagraph"/>
        <w:numPr>
          <w:ilvl w:val="0"/>
          <w:numId w:val="22"/>
        </w:numPr>
        <w:ind w:left="567" w:hanging="567"/>
        <w:jc w:val="both"/>
        <w:rPr>
          <w:rFonts w:cs="Arial"/>
          <w:szCs w:val="24"/>
        </w:rPr>
      </w:pPr>
      <w:r w:rsidRPr="005577B8">
        <w:rPr>
          <w:rFonts w:cs="Arial"/>
          <w:szCs w:val="24"/>
        </w:rPr>
        <w:t>Vernon Lodge Redevelopment is a multiple year project with a total budget of £11.031m over 3 years. The scheme is currently in planning stage. The designs are being revised to address comments received from the Met Police Secure by Design team. The updated design and planning statement is expected to be re-submitted to Planning for determination in Q</w:t>
      </w:r>
      <w:r w:rsidR="00132FB9">
        <w:rPr>
          <w:rFonts w:cs="Arial"/>
          <w:szCs w:val="24"/>
        </w:rPr>
        <w:t>uarter</w:t>
      </w:r>
      <w:r w:rsidR="0057166B">
        <w:rPr>
          <w:rFonts w:cs="Arial"/>
          <w:szCs w:val="24"/>
        </w:rPr>
        <w:t xml:space="preserve"> </w:t>
      </w:r>
      <w:r w:rsidRPr="005577B8">
        <w:rPr>
          <w:rFonts w:cs="Arial"/>
          <w:szCs w:val="24"/>
        </w:rPr>
        <w:t>3. This has resulted in a delay in the implementation and there</w:t>
      </w:r>
      <w:r w:rsidR="000E2117">
        <w:rPr>
          <w:rFonts w:cs="Arial"/>
          <w:szCs w:val="24"/>
        </w:rPr>
        <w:t>fore it is forecast to spend £</w:t>
      </w:r>
      <w:r w:rsidRPr="005577B8">
        <w:rPr>
          <w:rFonts w:cs="Arial"/>
          <w:szCs w:val="24"/>
        </w:rPr>
        <w:t>5</w:t>
      </w:r>
      <w:r w:rsidR="000E2117">
        <w:rPr>
          <w:rFonts w:cs="Arial"/>
          <w:szCs w:val="24"/>
        </w:rPr>
        <w:t>00k</w:t>
      </w:r>
      <w:r w:rsidRPr="005577B8">
        <w:rPr>
          <w:rFonts w:cs="Arial"/>
          <w:szCs w:val="24"/>
        </w:rPr>
        <w:t xml:space="preserve"> this year, with a budget slippage of £7.586m into 2020/21. There are MTFS </w:t>
      </w:r>
      <w:r w:rsidR="0057166B">
        <w:rPr>
          <w:rFonts w:cs="Arial"/>
          <w:szCs w:val="24"/>
        </w:rPr>
        <w:t xml:space="preserve">savings </w:t>
      </w:r>
      <w:r w:rsidRPr="005577B8">
        <w:rPr>
          <w:rFonts w:cs="Arial"/>
          <w:szCs w:val="24"/>
        </w:rPr>
        <w:t xml:space="preserve">targets of £80k and £643k in 2020/21 and 2021/22 respectively associated with this project. The delay may have an impact on the achievement of </w:t>
      </w:r>
      <w:r w:rsidR="0057166B">
        <w:rPr>
          <w:rFonts w:cs="Arial"/>
          <w:szCs w:val="24"/>
        </w:rPr>
        <w:t xml:space="preserve">the </w:t>
      </w:r>
      <w:r w:rsidRPr="005577B8">
        <w:rPr>
          <w:rFonts w:cs="Arial"/>
          <w:szCs w:val="24"/>
        </w:rPr>
        <w:t>2020/21 MTFS</w:t>
      </w:r>
      <w:r w:rsidR="0057166B">
        <w:rPr>
          <w:rFonts w:cs="Arial"/>
          <w:szCs w:val="24"/>
        </w:rPr>
        <w:t xml:space="preserve"> savings</w:t>
      </w:r>
      <w:r w:rsidRPr="005577B8">
        <w:rPr>
          <w:rFonts w:cs="Arial"/>
          <w:szCs w:val="24"/>
        </w:rPr>
        <w:t xml:space="preserve"> and this will be assessed once the scheme redesign is complete</w:t>
      </w:r>
      <w:r>
        <w:rPr>
          <w:rFonts w:cs="Arial"/>
          <w:szCs w:val="24"/>
        </w:rPr>
        <w:t>.</w:t>
      </w:r>
    </w:p>
    <w:p w14:paraId="724382E2" w14:textId="77777777" w:rsidR="005577B8" w:rsidRPr="005577B8" w:rsidRDefault="005577B8" w:rsidP="00825AC5">
      <w:pPr>
        <w:pStyle w:val="ListParagraph"/>
        <w:jc w:val="both"/>
        <w:rPr>
          <w:rFonts w:cs="Arial"/>
          <w:szCs w:val="24"/>
        </w:rPr>
      </w:pPr>
    </w:p>
    <w:p w14:paraId="19FC5A65" w14:textId="32850B57" w:rsidR="005577B8" w:rsidRDefault="005577B8">
      <w:pPr>
        <w:pStyle w:val="ListParagraph"/>
        <w:numPr>
          <w:ilvl w:val="0"/>
          <w:numId w:val="22"/>
        </w:numPr>
        <w:ind w:left="567" w:hanging="567"/>
        <w:jc w:val="both"/>
        <w:rPr>
          <w:rFonts w:cs="Arial"/>
          <w:szCs w:val="24"/>
        </w:rPr>
      </w:pPr>
      <w:r w:rsidRPr="005577B8">
        <w:rPr>
          <w:rFonts w:cs="Arial"/>
          <w:szCs w:val="24"/>
        </w:rPr>
        <w:t>Depot Redevelopment is a multiple year project with the original timeline for completion in January 2020. Changes to the scheme to include additional floors and car park deck have resulted in extended design and a delay in the construction programme. The latest programme indicates that the completion will be in December 2020. There is a budget allocation of £17.307m in 2019/20. It is forecast to spend £13m this year, and £4.307m will be slipped into 2020/21. There are MTFS targets of £246k and £1.154m in 2019/20 and 2020/21 respectively associated with this project</w:t>
      </w:r>
      <w:r w:rsidR="0057166B">
        <w:rPr>
          <w:rFonts w:cs="Arial"/>
          <w:szCs w:val="24"/>
        </w:rPr>
        <w:t xml:space="preserve">. The MTFS target for </w:t>
      </w:r>
      <w:r w:rsidR="0057166B">
        <w:rPr>
          <w:rFonts w:cs="Arial"/>
          <w:szCs w:val="24"/>
        </w:rPr>
        <w:lastRenderedPageBreak/>
        <w:t>2019/20 will</w:t>
      </w:r>
      <w:r w:rsidRPr="005577B8">
        <w:rPr>
          <w:rFonts w:cs="Arial"/>
          <w:szCs w:val="24"/>
        </w:rPr>
        <w:t xml:space="preserve"> not</w:t>
      </w:r>
      <w:r w:rsidR="0057166B">
        <w:rPr>
          <w:rFonts w:cs="Arial"/>
          <w:szCs w:val="24"/>
        </w:rPr>
        <w:t xml:space="preserve"> be</w:t>
      </w:r>
      <w:r w:rsidRPr="005577B8">
        <w:rPr>
          <w:rFonts w:cs="Arial"/>
          <w:szCs w:val="24"/>
        </w:rPr>
        <w:t xml:space="preserve"> achieved and this is included in the revenue forecast within Community. The achievement of future year savings is being assessed by the directorate</w:t>
      </w:r>
      <w:r>
        <w:rPr>
          <w:rFonts w:cs="Arial"/>
          <w:szCs w:val="24"/>
        </w:rPr>
        <w:t>.</w:t>
      </w:r>
    </w:p>
    <w:p w14:paraId="55FAD3E7" w14:textId="77777777" w:rsidR="005577B8" w:rsidRPr="005577B8" w:rsidRDefault="005577B8" w:rsidP="00825AC5">
      <w:pPr>
        <w:pStyle w:val="ListParagraph"/>
        <w:jc w:val="both"/>
        <w:rPr>
          <w:rFonts w:cs="Arial"/>
          <w:szCs w:val="24"/>
        </w:rPr>
      </w:pPr>
    </w:p>
    <w:p w14:paraId="0BFFEE30" w14:textId="2684063B" w:rsidR="005577B8" w:rsidRDefault="005577B8">
      <w:pPr>
        <w:pStyle w:val="ListParagraph"/>
        <w:numPr>
          <w:ilvl w:val="0"/>
          <w:numId w:val="22"/>
        </w:numPr>
        <w:ind w:left="567" w:hanging="567"/>
        <w:jc w:val="both"/>
        <w:rPr>
          <w:rFonts w:cs="Arial"/>
          <w:szCs w:val="24"/>
        </w:rPr>
      </w:pPr>
      <w:r w:rsidRPr="005577B8">
        <w:rPr>
          <w:rFonts w:cs="Arial"/>
          <w:szCs w:val="24"/>
        </w:rPr>
        <w:t>CCTV Infrastructure upgrade including the construction of an Alarm Receiving Centre is delayed as a result of the revised depot construction timetable as described above. Similarly the unmanned aerial vehicles project is also delayed as it is intrinsically linked to the CCTV project. Therefore a slippage of £1.653m in total is forecast for both projects. There is a MTFS target of £200k in 2019/20 in relation to CCTV commercialisation, which is not achieved and has been reflected in the MTFS tracker. Mitigations are being identified within Parking &amp; Network Management Services to offset this pressure</w:t>
      </w:r>
      <w:r>
        <w:rPr>
          <w:rFonts w:cs="Arial"/>
          <w:szCs w:val="24"/>
        </w:rPr>
        <w:t>.</w:t>
      </w:r>
    </w:p>
    <w:p w14:paraId="31EFC50D" w14:textId="77777777" w:rsidR="005577B8" w:rsidRPr="005577B8" w:rsidRDefault="005577B8" w:rsidP="00825AC5">
      <w:pPr>
        <w:pStyle w:val="ListParagraph"/>
        <w:jc w:val="both"/>
        <w:rPr>
          <w:rFonts w:cs="Arial"/>
          <w:szCs w:val="24"/>
        </w:rPr>
      </w:pPr>
    </w:p>
    <w:p w14:paraId="2FC7FEBB" w14:textId="33DFF696" w:rsidR="005577B8" w:rsidRDefault="005577B8">
      <w:pPr>
        <w:pStyle w:val="ListParagraph"/>
        <w:numPr>
          <w:ilvl w:val="0"/>
          <w:numId w:val="22"/>
        </w:numPr>
        <w:ind w:left="567" w:hanging="567"/>
        <w:jc w:val="both"/>
        <w:rPr>
          <w:rFonts w:cs="Arial"/>
          <w:szCs w:val="24"/>
        </w:rPr>
      </w:pPr>
      <w:r w:rsidRPr="005577B8">
        <w:rPr>
          <w:rFonts w:cs="Arial"/>
          <w:szCs w:val="24"/>
        </w:rPr>
        <w:t xml:space="preserve">There is a budget allocation of £5m for the redevelopment of </w:t>
      </w:r>
      <w:r w:rsidR="0057166B">
        <w:rPr>
          <w:rFonts w:cs="Arial"/>
          <w:szCs w:val="24"/>
        </w:rPr>
        <w:t xml:space="preserve">the </w:t>
      </w:r>
      <w:r w:rsidRPr="005577B8">
        <w:rPr>
          <w:rFonts w:cs="Arial"/>
          <w:szCs w:val="24"/>
        </w:rPr>
        <w:t>Probation Centre over 2 years. £2m is profiled in 2019/20. Options are being worked through and a business case to be finalised to assess the financial viability of each option before a decision is made to re-let or redevelop the building. Minimal spend is anticipated this year as this would either be a small capital investment to make the building suitable for re-letting or design fees if a redevelopment route is pursued. Therefore a slippage of £1.9m is forecast. A rent income of £45k per annum was achieved from the site in the past. The financial impact of this empty property is that there is a loss of rent income as well as the Council being liable for business rates</w:t>
      </w:r>
      <w:r w:rsidR="00A41BD4">
        <w:rPr>
          <w:rFonts w:cs="Arial"/>
          <w:szCs w:val="24"/>
        </w:rPr>
        <w:t xml:space="preserve"> which is accommodated within the revenue forecast.</w:t>
      </w:r>
    </w:p>
    <w:p w14:paraId="0EA5F592" w14:textId="77777777" w:rsidR="005577B8" w:rsidRPr="005577B8" w:rsidRDefault="005577B8" w:rsidP="00825AC5">
      <w:pPr>
        <w:pStyle w:val="ListParagraph"/>
        <w:jc w:val="both"/>
        <w:rPr>
          <w:rFonts w:cs="Arial"/>
          <w:szCs w:val="24"/>
        </w:rPr>
      </w:pPr>
    </w:p>
    <w:p w14:paraId="78930F4F" w14:textId="69C95DE4" w:rsidR="005577B8" w:rsidRPr="007C0D59" w:rsidRDefault="005577B8">
      <w:pPr>
        <w:pStyle w:val="ListParagraph"/>
        <w:numPr>
          <w:ilvl w:val="0"/>
          <w:numId w:val="22"/>
        </w:numPr>
        <w:ind w:left="567" w:hanging="567"/>
        <w:jc w:val="both"/>
        <w:rPr>
          <w:rFonts w:cs="Arial"/>
          <w:szCs w:val="24"/>
        </w:rPr>
      </w:pPr>
      <w:r w:rsidRPr="005577B8">
        <w:rPr>
          <w:rFonts w:cs="Arial"/>
          <w:szCs w:val="24"/>
        </w:rPr>
        <w:t xml:space="preserve">Vehicle procurement project is near completion. All vehicles identified as requiring a replacement have been renewed. It is forecast to spend £6m out of the £13.516m budget allocated in the capital programme this year. Some vehicles novated from the former vehicle contractor during 2018/19 will come to the end of their useful life and will be programmed in for replacement over the medium term. It is therefore proposed that the remaining budget </w:t>
      </w:r>
      <w:r w:rsidR="0057166B">
        <w:rPr>
          <w:rFonts w:cs="Arial"/>
          <w:szCs w:val="24"/>
        </w:rPr>
        <w:t xml:space="preserve">of £7.516m is slipped and </w:t>
      </w:r>
      <w:r w:rsidRPr="005577B8">
        <w:rPr>
          <w:rFonts w:cs="Arial"/>
          <w:szCs w:val="24"/>
        </w:rPr>
        <w:t>re-profiled to reflect the replacement programme in the future. A contribution of £100k saving to the MTFS target relating to contract re-procurement is assumed for 2019/20 and this is currently on track</w:t>
      </w:r>
      <w:r>
        <w:rPr>
          <w:rFonts w:cs="Arial"/>
          <w:szCs w:val="24"/>
        </w:rPr>
        <w:t>.</w:t>
      </w:r>
    </w:p>
    <w:p w14:paraId="4A3E0CEA" w14:textId="77777777" w:rsidR="006D376F" w:rsidRPr="007C0D59" w:rsidRDefault="006D376F">
      <w:pPr>
        <w:pStyle w:val="ListParagraph"/>
        <w:tabs>
          <w:tab w:val="left" w:pos="709"/>
        </w:tabs>
        <w:ind w:left="709"/>
        <w:jc w:val="both"/>
        <w:rPr>
          <w:rFonts w:cs="Arial"/>
          <w:szCs w:val="24"/>
        </w:rPr>
      </w:pPr>
    </w:p>
    <w:p w14:paraId="70F5853D" w14:textId="236BD0FA" w:rsidR="00EB4B9A" w:rsidRPr="00CC258C" w:rsidRDefault="006D376F">
      <w:pPr>
        <w:pStyle w:val="ListParagraph"/>
        <w:tabs>
          <w:tab w:val="left" w:pos="709"/>
        </w:tabs>
        <w:ind w:left="567"/>
        <w:jc w:val="both"/>
        <w:rPr>
          <w:rFonts w:cs="Arial"/>
          <w:szCs w:val="24"/>
        </w:rPr>
      </w:pPr>
      <w:r w:rsidRPr="003634DA">
        <w:rPr>
          <w:rFonts w:cs="Arial"/>
          <w:szCs w:val="24"/>
          <w:u w:val="single"/>
        </w:rPr>
        <w:t>Enterprise &amp; Planning</w:t>
      </w:r>
    </w:p>
    <w:p w14:paraId="29532D13" w14:textId="0F275A2F" w:rsidR="006D376F" w:rsidRPr="007C0D59" w:rsidRDefault="006D376F">
      <w:pPr>
        <w:pStyle w:val="ListParagraph"/>
        <w:numPr>
          <w:ilvl w:val="0"/>
          <w:numId w:val="22"/>
        </w:numPr>
        <w:tabs>
          <w:tab w:val="left" w:pos="709"/>
        </w:tabs>
        <w:ind w:left="567" w:hanging="567"/>
        <w:jc w:val="both"/>
        <w:rPr>
          <w:rFonts w:cs="Arial"/>
          <w:szCs w:val="24"/>
        </w:rPr>
      </w:pPr>
      <w:r w:rsidRPr="007C0D59">
        <w:rPr>
          <w:rFonts w:cs="Arial"/>
          <w:szCs w:val="24"/>
        </w:rPr>
        <w:t>In Enterprise and Planning, the services forecast to spend £1.</w:t>
      </w:r>
      <w:r w:rsidR="005577B8">
        <w:rPr>
          <w:rFonts w:cs="Arial"/>
          <w:szCs w:val="24"/>
        </w:rPr>
        <w:t>967</w:t>
      </w:r>
      <w:r w:rsidRPr="007C0D59">
        <w:rPr>
          <w:rFonts w:cs="Arial"/>
          <w:szCs w:val="24"/>
        </w:rPr>
        <w:t xml:space="preserve">m in 2019/20 and </w:t>
      </w:r>
      <w:r w:rsidR="00710B9F">
        <w:rPr>
          <w:rFonts w:cs="Arial"/>
          <w:szCs w:val="24"/>
        </w:rPr>
        <w:t>will be requesting</w:t>
      </w:r>
      <w:r w:rsidR="009E4439">
        <w:rPr>
          <w:rFonts w:cs="Arial"/>
          <w:szCs w:val="24"/>
        </w:rPr>
        <w:t xml:space="preserve"> </w:t>
      </w:r>
      <w:r w:rsidRPr="007C0D59">
        <w:rPr>
          <w:rFonts w:cs="Arial"/>
          <w:szCs w:val="24"/>
        </w:rPr>
        <w:t>to slip a budget of £1.</w:t>
      </w:r>
      <w:r w:rsidR="005577B8">
        <w:rPr>
          <w:rFonts w:cs="Arial"/>
          <w:szCs w:val="24"/>
        </w:rPr>
        <w:t>532</w:t>
      </w:r>
      <w:r w:rsidRPr="007C0D59">
        <w:rPr>
          <w:rFonts w:cs="Arial"/>
          <w:szCs w:val="24"/>
        </w:rPr>
        <w:t>m to 2020/21.</w:t>
      </w:r>
    </w:p>
    <w:p w14:paraId="76F4F08A" w14:textId="77777777" w:rsidR="006D376F" w:rsidRPr="007C0D59" w:rsidRDefault="006D376F">
      <w:pPr>
        <w:pStyle w:val="ListParagraph"/>
        <w:tabs>
          <w:tab w:val="left" w:pos="709"/>
        </w:tabs>
        <w:ind w:left="567" w:hanging="567"/>
        <w:jc w:val="both"/>
        <w:rPr>
          <w:rFonts w:cs="Arial"/>
          <w:szCs w:val="24"/>
        </w:rPr>
      </w:pPr>
    </w:p>
    <w:p w14:paraId="2DBCD8A4" w14:textId="75DC5894" w:rsidR="006D376F" w:rsidRDefault="006D376F">
      <w:pPr>
        <w:pStyle w:val="ListParagraph"/>
        <w:numPr>
          <w:ilvl w:val="0"/>
          <w:numId w:val="22"/>
        </w:numPr>
        <w:tabs>
          <w:tab w:val="left" w:pos="709"/>
        </w:tabs>
        <w:ind w:left="567" w:hanging="567"/>
        <w:jc w:val="both"/>
        <w:rPr>
          <w:rFonts w:cs="Arial"/>
          <w:szCs w:val="24"/>
        </w:rPr>
      </w:pPr>
      <w:r w:rsidRPr="007C0D59">
        <w:rPr>
          <w:rFonts w:cs="Arial"/>
          <w:szCs w:val="24"/>
        </w:rPr>
        <w:t xml:space="preserve">Three projects are forecast to be slipped to 2020/21. There is no revenue </w:t>
      </w:r>
      <w:r w:rsidR="005A4F77">
        <w:rPr>
          <w:rFonts w:cs="Arial"/>
          <w:szCs w:val="24"/>
        </w:rPr>
        <w:t xml:space="preserve">budget </w:t>
      </w:r>
      <w:r w:rsidRPr="007C0D59">
        <w:rPr>
          <w:rFonts w:cs="Arial"/>
          <w:szCs w:val="24"/>
        </w:rPr>
        <w:t>implication of the slippage.</w:t>
      </w:r>
    </w:p>
    <w:p w14:paraId="79EA10C6" w14:textId="77777777" w:rsidR="00BF728D" w:rsidRPr="007C0D59" w:rsidRDefault="00BF728D" w:rsidP="00825AC5">
      <w:pPr>
        <w:pStyle w:val="ListParagraph"/>
        <w:tabs>
          <w:tab w:val="left" w:pos="709"/>
        </w:tabs>
        <w:ind w:left="567"/>
        <w:jc w:val="both"/>
        <w:rPr>
          <w:rFonts w:cs="Arial"/>
          <w:szCs w:val="24"/>
        </w:rPr>
      </w:pPr>
    </w:p>
    <w:p w14:paraId="028A0C95" w14:textId="73BB8288" w:rsidR="006D376F" w:rsidRDefault="006D376F">
      <w:pPr>
        <w:pStyle w:val="ListParagraph"/>
        <w:numPr>
          <w:ilvl w:val="0"/>
          <w:numId w:val="22"/>
        </w:numPr>
        <w:tabs>
          <w:tab w:val="left" w:pos="709"/>
        </w:tabs>
        <w:ind w:left="567" w:hanging="567"/>
        <w:jc w:val="both"/>
        <w:rPr>
          <w:rFonts w:cs="Arial"/>
          <w:szCs w:val="24"/>
        </w:rPr>
      </w:pPr>
      <w:r w:rsidRPr="007C0D59">
        <w:rPr>
          <w:rFonts w:cs="Arial"/>
          <w:szCs w:val="24"/>
        </w:rPr>
        <w:t xml:space="preserve">The Lyon Road public square and pop up restaurant project is funded by </w:t>
      </w:r>
      <w:r w:rsidR="00BD3890">
        <w:rPr>
          <w:rFonts w:cs="Arial"/>
          <w:szCs w:val="24"/>
        </w:rPr>
        <w:t xml:space="preserve">the </w:t>
      </w:r>
      <w:r w:rsidRPr="007C0D59">
        <w:rPr>
          <w:rFonts w:cs="Arial"/>
          <w:szCs w:val="24"/>
        </w:rPr>
        <w:t xml:space="preserve">GLA Good Growth Fund, S106 contributions and NCIL funding. The public square work is expected to be completed in </w:t>
      </w:r>
      <w:r w:rsidR="00E54B87">
        <w:rPr>
          <w:rFonts w:cs="Arial"/>
          <w:szCs w:val="24"/>
        </w:rPr>
        <w:t>20</w:t>
      </w:r>
      <w:r w:rsidRPr="007C0D59">
        <w:rPr>
          <w:rFonts w:cs="Arial"/>
          <w:szCs w:val="24"/>
        </w:rPr>
        <w:t>19/20. Within the 2019/20 budget of £739</w:t>
      </w:r>
      <w:r w:rsidR="009340D2">
        <w:rPr>
          <w:rFonts w:cs="Arial"/>
          <w:szCs w:val="24"/>
        </w:rPr>
        <w:t>k</w:t>
      </w:r>
      <w:r w:rsidRPr="007C0D59">
        <w:rPr>
          <w:rFonts w:cs="Arial"/>
          <w:szCs w:val="24"/>
        </w:rPr>
        <w:t xml:space="preserve">, there is a sub-allocation of £20k for the design fees of the new pop up test trade restaurant. Due to the delay in identifying a suitable operator, this funding is unlikely to be spent in </w:t>
      </w:r>
      <w:r w:rsidR="00EC34D1">
        <w:rPr>
          <w:rFonts w:cs="Arial"/>
          <w:szCs w:val="24"/>
        </w:rPr>
        <w:t>20</w:t>
      </w:r>
      <w:r w:rsidRPr="007C0D59">
        <w:rPr>
          <w:rFonts w:cs="Arial"/>
          <w:szCs w:val="24"/>
        </w:rPr>
        <w:t>19/20 and will be</w:t>
      </w:r>
      <w:r w:rsidR="00AB26B8">
        <w:rPr>
          <w:rFonts w:cs="Arial"/>
          <w:szCs w:val="24"/>
        </w:rPr>
        <w:t xml:space="preserve"> requested for slippage</w:t>
      </w:r>
      <w:r w:rsidRPr="007C0D59">
        <w:rPr>
          <w:rFonts w:cs="Arial"/>
          <w:szCs w:val="24"/>
        </w:rPr>
        <w:t xml:space="preserve"> </w:t>
      </w:r>
      <w:r w:rsidR="00AB26B8">
        <w:rPr>
          <w:rFonts w:cs="Arial"/>
          <w:szCs w:val="24"/>
        </w:rPr>
        <w:t>in</w:t>
      </w:r>
      <w:r w:rsidRPr="007C0D59">
        <w:rPr>
          <w:rFonts w:cs="Arial"/>
          <w:szCs w:val="24"/>
        </w:rPr>
        <w:t>to 2020/21.</w:t>
      </w:r>
    </w:p>
    <w:p w14:paraId="7D2D5A72" w14:textId="77777777" w:rsidR="00EC34D1" w:rsidRPr="00EC34D1" w:rsidRDefault="00EC34D1" w:rsidP="00825AC5">
      <w:pPr>
        <w:pStyle w:val="ListParagraph"/>
        <w:jc w:val="both"/>
        <w:rPr>
          <w:rFonts w:cs="Arial"/>
          <w:szCs w:val="24"/>
        </w:rPr>
      </w:pPr>
    </w:p>
    <w:p w14:paraId="02E3EDFB" w14:textId="6D23D4B5" w:rsidR="00EC34D1" w:rsidRPr="007C0D59" w:rsidRDefault="00EC34D1">
      <w:pPr>
        <w:pStyle w:val="ListParagraph"/>
        <w:numPr>
          <w:ilvl w:val="0"/>
          <w:numId w:val="22"/>
        </w:numPr>
        <w:tabs>
          <w:tab w:val="left" w:pos="709"/>
        </w:tabs>
        <w:ind w:left="567" w:hanging="567"/>
        <w:jc w:val="both"/>
        <w:rPr>
          <w:rFonts w:cs="Arial"/>
          <w:szCs w:val="24"/>
        </w:rPr>
      </w:pPr>
      <w:r w:rsidRPr="00EC34D1">
        <w:rPr>
          <w:rFonts w:cs="Arial"/>
          <w:szCs w:val="24"/>
        </w:rPr>
        <w:t xml:space="preserve">There is a budget </w:t>
      </w:r>
      <w:r>
        <w:rPr>
          <w:rFonts w:cs="Arial"/>
          <w:szCs w:val="24"/>
        </w:rPr>
        <w:t>allocation of £750k</w:t>
      </w:r>
      <w:r w:rsidRPr="00EC34D1">
        <w:rPr>
          <w:rFonts w:cs="Arial"/>
          <w:szCs w:val="24"/>
        </w:rPr>
        <w:t xml:space="preserve"> for Harrow High Street Fund project in </w:t>
      </w:r>
      <w:r>
        <w:rPr>
          <w:rFonts w:cs="Arial"/>
          <w:szCs w:val="24"/>
        </w:rPr>
        <w:t>20</w:t>
      </w:r>
      <w:r w:rsidRPr="00EC34D1">
        <w:rPr>
          <w:rFonts w:cs="Arial"/>
          <w:szCs w:val="24"/>
        </w:rPr>
        <w:t>19/20, the cost of which is to be funded from CIL (£65</w:t>
      </w:r>
      <w:r>
        <w:rPr>
          <w:rFonts w:cs="Arial"/>
          <w:szCs w:val="24"/>
        </w:rPr>
        <w:t>0k) and borrowing (£</w:t>
      </w:r>
      <w:r w:rsidRPr="00EC34D1">
        <w:rPr>
          <w:rFonts w:cs="Arial"/>
          <w:szCs w:val="24"/>
        </w:rPr>
        <w:t>1</w:t>
      </w:r>
      <w:r>
        <w:rPr>
          <w:rFonts w:cs="Arial"/>
          <w:szCs w:val="24"/>
        </w:rPr>
        <w:t>00k</w:t>
      </w:r>
      <w:r w:rsidRPr="00EC34D1">
        <w:rPr>
          <w:rFonts w:cs="Arial"/>
          <w:szCs w:val="24"/>
        </w:rPr>
        <w:t xml:space="preserve">). Consultation on project proposals has been completed. A BCIL </w:t>
      </w:r>
      <w:r w:rsidRPr="00EC34D1">
        <w:rPr>
          <w:rFonts w:cs="Arial"/>
          <w:szCs w:val="24"/>
        </w:rPr>
        <w:lastRenderedPageBreak/>
        <w:t>application will be made seeking approval of the funding to deliver a project in South Harrow and Rayners Lane. Subject to approval, designs are anticipated in Q</w:t>
      </w:r>
      <w:r w:rsidR="00E54B87">
        <w:rPr>
          <w:rFonts w:cs="Arial"/>
          <w:szCs w:val="24"/>
        </w:rPr>
        <w:t xml:space="preserve">uarter </w:t>
      </w:r>
      <w:r w:rsidRPr="00EC34D1">
        <w:rPr>
          <w:rFonts w:cs="Arial"/>
          <w:szCs w:val="24"/>
        </w:rPr>
        <w:t>3. At this stage, it is forecast that £1</w:t>
      </w:r>
      <w:r>
        <w:rPr>
          <w:rFonts w:cs="Arial"/>
          <w:szCs w:val="24"/>
        </w:rPr>
        <w:t>00k</w:t>
      </w:r>
      <w:r w:rsidRPr="00EC34D1">
        <w:rPr>
          <w:rFonts w:cs="Arial"/>
          <w:szCs w:val="24"/>
        </w:rPr>
        <w:t xml:space="preserve"> will be spent in 2019/20 and the rest </w:t>
      </w:r>
      <w:r w:rsidR="00D53FAC">
        <w:rPr>
          <w:rFonts w:cs="Arial"/>
          <w:szCs w:val="24"/>
        </w:rPr>
        <w:t>will be request</w:t>
      </w:r>
      <w:r w:rsidR="0057166B">
        <w:rPr>
          <w:rFonts w:cs="Arial"/>
          <w:szCs w:val="24"/>
        </w:rPr>
        <w:t>ed</w:t>
      </w:r>
      <w:r w:rsidR="00D53FAC">
        <w:rPr>
          <w:rFonts w:cs="Arial"/>
          <w:szCs w:val="24"/>
        </w:rPr>
        <w:t xml:space="preserve"> to</w:t>
      </w:r>
      <w:r w:rsidRPr="00EC34D1">
        <w:rPr>
          <w:rFonts w:cs="Arial"/>
          <w:szCs w:val="24"/>
        </w:rPr>
        <w:t xml:space="preserve"> </w:t>
      </w:r>
      <w:r w:rsidR="006E1B96" w:rsidRPr="00EC34D1">
        <w:rPr>
          <w:rFonts w:cs="Arial"/>
          <w:szCs w:val="24"/>
        </w:rPr>
        <w:t>slip</w:t>
      </w:r>
      <w:r w:rsidRPr="00EC34D1">
        <w:rPr>
          <w:rFonts w:cs="Arial"/>
          <w:szCs w:val="24"/>
        </w:rPr>
        <w:t xml:space="preserve"> to 2020/21</w:t>
      </w:r>
      <w:r w:rsidR="00D53FAC">
        <w:rPr>
          <w:rFonts w:cs="Arial"/>
          <w:szCs w:val="24"/>
        </w:rPr>
        <w:t>.</w:t>
      </w:r>
    </w:p>
    <w:p w14:paraId="05115DC4" w14:textId="77777777" w:rsidR="006D376F" w:rsidRPr="007C0D59" w:rsidRDefault="006D376F">
      <w:pPr>
        <w:pStyle w:val="ListParagraph"/>
        <w:tabs>
          <w:tab w:val="left" w:pos="709"/>
        </w:tabs>
        <w:ind w:left="567" w:hanging="567"/>
        <w:jc w:val="both"/>
        <w:rPr>
          <w:rFonts w:cs="Arial"/>
          <w:szCs w:val="24"/>
        </w:rPr>
      </w:pPr>
    </w:p>
    <w:p w14:paraId="72558D4F" w14:textId="77777777" w:rsidR="00A4186E" w:rsidRDefault="00EC34D1">
      <w:pPr>
        <w:pStyle w:val="ListParagraph"/>
        <w:numPr>
          <w:ilvl w:val="0"/>
          <w:numId w:val="22"/>
        </w:numPr>
        <w:tabs>
          <w:tab w:val="left" w:pos="709"/>
        </w:tabs>
        <w:ind w:left="567" w:hanging="567"/>
        <w:jc w:val="both"/>
        <w:rPr>
          <w:rFonts w:cs="Arial"/>
          <w:szCs w:val="24"/>
        </w:rPr>
      </w:pPr>
      <w:r w:rsidRPr="00EC34D1">
        <w:rPr>
          <w:rFonts w:cs="Arial"/>
          <w:szCs w:val="24"/>
        </w:rPr>
        <w:t xml:space="preserve">There is a budget allocation of £1m for the replacement of the Planning IT system. Cabinet in October </w:t>
      </w:r>
      <w:r w:rsidR="00E54B87">
        <w:rPr>
          <w:rFonts w:cs="Arial"/>
          <w:szCs w:val="24"/>
        </w:rPr>
        <w:t>20</w:t>
      </w:r>
      <w:r w:rsidRPr="00EC34D1">
        <w:rPr>
          <w:rFonts w:cs="Arial"/>
          <w:szCs w:val="24"/>
        </w:rPr>
        <w:t>19 approved the commencement of the procurement for a new Planning IT solution. Procurement is underway and is expect</w:t>
      </w:r>
      <w:r w:rsidR="00E54B87">
        <w:rPr>
          <w:rFonts w:cs="Arial"/>
          <w:szCs w:val="24"/>
        </w:rPr>
        <w:t>ed to be completed during Q</w:t>
      </w:r>
      <w:r w:rsidR="0050151D">
        <w:rPr>
          <w:rFonts w:cs="Arial"/>
          <w:szCs w:val="24"/>
        </w:rPr>
        <w:t xml:space="preserve">uarter </w:t>
      </w:r>
      <w:r w:rsidR="00E54B87">
        <w:rPr>
          <w:rFonts w:cs="Arial"/>
          <w:szCs w:val="24"/>
        </w:rPr>
        <w:t xml:space="preserve">4. </w:t>
      </w:r>
      <w:r w:rsidRPr="00EC34D1">
        <w:rPr>
          <w:rFonts w:cs="Arial"/>
          <w:szCs w:val="24"/>
        </w:rPr>
        <w:t>Some resource and IT costs are planned for this financi</w:t>
      </w:r>
      <w:r>
        <w:rPr>
          <w:rFonts w:cs="Arial"/>
          <w:szCs w:val="24"/>
        </w:rPr>
        <w:t>al year and are estimated at £</w:t>
      </w:r>
      <w:r w:rsidRPr="00EC34D1">
        <w:rPr>
          <w:rFonts w:cs="Arial"/>
          <w:szCs w:val="24"/>
        </w:rPr>
        <w:t>138</w:t>
      </w:r>
      <w:r>
        <w:rPr>
          <w:rFonts w:cs="Arial"/>
          <w:szCs w:val="24"/>
        </w:rPr>
        <w:t>k</w:t>
      </w:r>
      <w:r w:rsidRPr="00EC34D1">
        <w:rPr>
          <w:rFonts w:cs="Arial"/>
          <w:szCs w:val="24"/>
        </w:rPr>
        <w:t xml:space="preserve">. It is anticipated that the implementation will be completed in 2020/21, and therefore </w:t>
      </w:r>
      <w:r>
        <w:rPr>
          <w:rFonts w:cs="Arial"/>
          <w:szCs w:val="24"/>
        </w:rPr>
        <w:t>£</w:t>
      </w:r>
      <w:r w:rsidRPr="00EC34D1">
        <w:rPr>
          <w:rFonts w:cs="Arial"/>
          <w:szCs w:val="24"/>
        </w:rPr>
        <w:t>862</w:t>
      </w:r>
      <w:r>
        <w:rPr>
          <w:rFonts w:cs="Arial"/>
          <w:szCs w:val="24"/>
        </w:rPr>
        <w:t>k</w:t>
      </w:r>
      <w:r w:rsidRPr="00EC34D1">
        <w:rPr>
          <w:rFonts w:cs="Arial"/>
          <w:szCs w:val="24"/>
        </w:rPr>
        <w:t xml:space="preserve"> is forecast to be slipped to 2020/21</w:t>
      </w:r>
      <w:r>
        <w:rPr>
          <w:rFonts w:cs="Arial"/>
          <w:szCs w:val="24"/>
        </w:rPr>
        <w:t>.</w:t>
      </w:r>
    </w:p>
    <w:p w14:paraId="3FD1559F" w14:textId="77777777" w:rsidR="00A4186E" w:rsidRPr="00A81783" w:rsidRDefault="00A4186E" w:rsidP="00825AC5">
      <w:pPr>
        <w:pStyle w:val="ListParagraph"/>
        <w:rPr>
          <w:rFonts w:cs="Arial"/>
          <w:szCs w:val="24"/>
        </w:rPr>
      </w:pPr>
    </w:p>
    <w:p w14:paraId="44B9BA76" w14:textId="159C1497" w:rsidR="00064D14" w:rsidRDefault="00A4186E" w:rsidP="00825AC5">
      <w:pPr>
        <w:pStyle w:val="ListParagraph"/>
        <w:ind w:left="567"/>
        <w:rPr>
          <w:rFonts w:eastAsia="Calibri" w:cs="Arial"/>
          <w:sz w:val="22"/>
          <w:szCs w:val="22"/>
        </w:rPr>
      </w:pPr>
      <w:r w:rsidRPr="00C9462C">
        <w:rPr>
          <w:rFonts w:eastAsia="Calibri" w:cs="Arial"/>
          <w:szCs w:val="24"/>
          <w:u w:val="single"/>
        </w:rPr>
        <w:t>Regeneration</w:t>
      </w:r>
    </w:p>
    <w:p w14:paraId="44CC7705" w14:textId="57B33D48" w:rsidR="000A4010" w:rsidRPr="00825AC5" w:rsidRDefault="006E1B96" w:rsidP="00825AC5">
      <w:pPr>
        <w:ind w:left="567" w:hanging="567"/>
        <w:jc w:val="both"/>
        <w:rPr>
          <w:rFonts w:cs="Arial"/>
          <w:szCs w:val="24"/>
        </w:rPr>
      </w:pPr>
      <w:r>
        <w:rPr>
          <w:rFonts w:eastAsia="Calibri" w:cs="Arial"/>
          <w:sz w:val="22"/>
          <w:szCs w:val="22"/>
        </w:rPr>
        <w:t>3.22 In</w:t>
      </w:r>
      <w:r w:rsidR="00064D14" w:rsidRPr="00825AC5">
        <w:rPr>
          <w:rFonts w:cs="Arial"/>
          <w:szCs w:val="24"/>
        </w:rPr>
        <w:t xml:space="preserve"> 2019/20, the main Regeneration programme is forecast to spend £5.80</w:t>
      </w:r>
      <w:r w:rsidR="00A4186E">
        <w:rPr>
          <w:rFonts w:cs="Arial"/>
          <w:szCs w:val="24"/>
        </w:rPr>
        <w:t>3</w:t>
      </w:r>
      <w:r w:rsidR="00064D14" w:rsidRPr="00825AC5">
        <w:rPr>
          <w:rFonts w:cs="Arial"/>
          <w:szCs w:val="24"/>
        </w:rPr>
        <w:t xml:space="preserve">m against a budget of £29.046m. The unspent </w:t>
      </w:r>
      <w:r w:rsidRPr="00E54B87">
        <w:rPr>
          <w:rFonts w:cs="Arial"/>
          <w:szCs w:val="24"/>
        </w:rPr>
        <w:t>budget of</w:t>
      </w:r>
      <w:r w:rsidR="000A4010" w:rsidRPr="00825AC5">
        <w:rPr>
          <w:rFonts w:cs="Arial"/>
          <w:szCs w:val="24"/>
        </w:rPr>
        <w:t xml:space="preserve"> £23,243m </w:t>
      </w:r>
      <w:r w:rsidR="00064D14" w:rsidRPr="00825AC5">
        <w:rPr>
          <w:rFonts w:cs="Arial"/>
          <w:szCs w:val="24"/>
        </w:rPr>
        <w:t>will be slipped into 202</w:t>
      </w:r>
      <w:r w:rsidR="0057166B">
        <w:rPr>
          <w:rFonts w:cs="Arial"/>
          <w:szCs w:val="24"/>
        </w:rPr>
        <w:t>0/21</w:t>
      </w:r>
      <w:r w:rsidR="00064D14" w:rsidRPr="00825AC5">
        <w:rPr>
          <w:rFonts w:cs="Arial"/>
          <w:szCs w:val="24"/>
        </w:rPr>
        <w:t>.</w:t>
      </w:r>
      <w:r w:rsidR="002A7DE1">
        <w:rPr>
          <w:rFonts w:cs="Arial"/>
          <w:szCs w:val="24"/>
        </w:rPr>
        <w:t xml:space="preserve"> </w:t>
      </w:r>
      <w:r w:rsidR="000A4010" w:rsidRPr="00825AC5">
        <w:rPr>
          <w:rFonts w:cs="Arial"/>
          <w:szCs w:val="24"/>
        </w:rPr>
        <w:t xml:space="preserve">There are no revenue </w:t>
      </w:r>
      <w:r w:rsidR="002A7DE1">
        <w:rPr>
          <w:rFonts w:cs="Arial"/>
          <w:szCs w:val="24"/>
        </w:rPr>
        <w:t xml:space="preserve">budget </w:t>
      </w:r>
      <w:r w:rsidR="000A4010" w:rsidRPr="00825AC5">
        <w:rPr>
          <w:rFonts w:cs="Arial"/>
          <w:szCs w:val="24"/>
        </w:rPr>
        <w:t>implications as a result of the slippage.</w:t>
      </w:r>
    </w:p>
    <w:p w14:paraId="37CBE4B3" w14:textId="77777777" w:rsidR="000A4010" w:rsidRPr="00825AC5" w:rsidRDefault="000A4010" w:rsidP="00825AC5">
      <w:pPr>
        <w:ind w:left="426" w:hanging="426"/>
        <w:jc w:val="both"/>
        <w:rPr>
          <w:rFonts w:cs="Arial"/>
          <w:szCs w:val="24"/>
        </w:rPr>
      </w:pPr>
    </w:p>
    <w:p w14:paraId="54312FA5" w14:textId="27DBE304" w:rsidR="00064D14" w:rsidRPr="00825AC5" w:rsidRDefault="000A4010" w:rsidP="00825AC5">
      <w:pPr>
        <w:ind w:left="567" w:hanging="567"/>
        <w:jc w:val="both"/>
        <w:rPr>
          <w:rFonts w:cs="Arial"/>
          <w:szCs w:val="24"/>
        </w:rPr>
      </w:pPr>
      <w:r w:rsidRPr="00825AC5">
        <w:rPr>
          <w:rFonts w:cs="Arial"/>
          <w:szCs w:val="24"/>
        </w:rPr>
        <w:t xml:space="preserve">3.23 Haslam House is forecasting a variance of £990k as a result of a delay in the appointment of a suitable </w:t>
      </w:r>
      <w:r w:rsidR="006E1B96" w:rsidRPr="00E54B87">
        <w:rPr>
          <w:rFonts w:cs="Arial"/>
          <w:szCs w:val="24"/>
        </w:rPr>
        <w:t>contractor;</w:t>
      </w:r>
      <w:r w:rsidRPr="00825AC5">
        <w:rPr>
          <w:rFonts w:cs="Arial"/>
          <w:szCs w:val="24"/>
        </w:rPr>
        <w:t xml:space="preserve"> this budget is unlikely to be spent </w:t>
      </w:r>
      <w:r w:rsidR="005A00DC" w:rsidRPr="00825AC5">
        <w:rPr>
          <w:rFonts w:cs="Arial"/>
          <w:szCs w:val="24"/>
        </w:rPr>
        <w:t>in 2019/20 and will be slipped into 2020/21.</w:t>
      </w:r>
      <w:r w:rsidR="002A7DE1">
        <w:rPr>
          <w:rFonts w:cs="Arial"/>
          <w:szCs w:val="24"/>
        </w:rPr>
        <w:t xml:space="preserve"> </w:t>
      </w:r>
      <w:r w:rsidR="005A00DC" w:rsidRPr="00825AC5">
        <w:rPr>
          <w:rFonts w:cs="Arial"/>
          <w:szCs w:val="24"/>
        </w:rPr>
        <w:t xml:space="preserve">At the time of setting the budget, it was assumed </w:t>
      </w:r>
      <w:r w:rsidR="002A7DE1">
        <w:rPr>
          <w:rFonts w:cs="Arial"/>
          <w:szCs w:val="24"/>
        </w:rPr>
        <w:t xml:space="preserve">that </w:t>
      </w:r>
      <w:r w:rsidR="005A00DC" w:rsidRPr="00825AC5">
        <w:rPr>
          <w:rFonts w:cs="Arial"/>
          <w:szCs w:val="24"/>
        </w:rPr>
        <w:t>a capital receipt of £4.290m as a result of the sale would arise in 2019/</w:t>
      </w:r>
      <w:r w:rsidR="006E1B96" w:rsidRPr="00E54B87">
        <w:rPr>
          <w:rFonts w:cs="Arial"/>
          <w:szCs w:val="24"/>
        </w:rPr>
        <w:t>20;</w:t>
      </w:r>
      <w:r w:rsidR="005A00DC" w:rsidRPr="00825AC5">
        <w:rPr>
          <w:rFonts w:cs="Arial"/>
          <w:szCs w:val="24"/>
        </w:rPr>
        <w:t xml:space="preserve"> this has now slipped to 2020/21.</w:t>
      </w:r>
    </w:p>
    <w:p w14:paraId="565C2BAC" w14:textId="77777777" w:rsidR="005A00DC" w:rsidRPr="00825AC5" w:rsidRDefault="005A00DC" w:rsidP="00825AC5">
      <w:pPr>
        <w:ind w:left="426" w:hanging="426"/>
        <w:jc w:val="both"/>
        <w:rPr>
          <w:rFonts w:cs="Arial"/>
          <w:szCs w:val="24"/>
        </w:rPr>
      </w:pPr>
    </w:p>
    <w:p w14:paraId="29045102" w14:textId="3C0F9E38" w:rsidR="005A00DC" w:rsidRPr="00825AC5" w:rsidRDefault="006E1B96" w:rsidP="00825AC5">
      <w:pPr>
        <w:ind w:left="567" w:hanging="567"/>
        <w:jc w:val="both"/>
        <w:rPr>
          <w:rFonts w:cs="Arial"/>
          <w:szCs w:val="24"/>
        </w:rPr>
      </w:pPr>
      <w:r w:rsidRPr="00E54B87">
        <w:rPr>
          <w:rFonts w:cs="Arial"/>
          <w:szCs w:val="24"/>
        </w:rPr>
        <w:t>3.24 There</w:t>
      </w:r>
      <w:r w:rsidR="004C22A1" w:rsidRPr="00825AC5">
        <w:rPr>
          <w:rFonts w:cs="Arial"/>
          <w:szCs w:val="24"/>
        </w:rPr>
        <w:t xml:space="preserve"> is a</w:t>
      </w:r>
      <w:r w:rsidR="005A00DC" w:rsidRPr="00825AC5">
        <w:rPr>
          <w:rFonts w:cs="Arial"/>
          <w:szCs w:val="24"/>
        </w:rPr>
        <w:t xml:space="preserve"> budget allocation</w:t>
      </w:r>
      <w:r w:rsidR="004C22A1" w:rsidRPr="00825AC5">
        <w:rPr>
          <w:rFonts w:cs="Arial"/>
          <w:szCs w:val="24"/>
        </w:rPr>
        <w:t xml:space="preserve"> of £8.571m </w:t>
      </w:r>
      <w:r w:rsidR="005A00DC" w:rsidRPr="00825AC5">
        <w:rPr>
          <w:rFonts w:cs="Arial"/>
          <w:szCs w:val="24"/>
        </w:rPr>
        <w:t xml:space="preserve">for build and sale of 20 residential units at </w:t>
      </w:r>
      <w:proofErr w:type="spellStart"/>
      <w:r w:rsidR="005A00DC" w:rsidRPr="00825AC5">
        <w:rPr>
          <w:rFonts w:cs="Arial"/>
          <w:szCs w:val="24"/>
        </w:rPr>
        <w:t>Waxwell</w:t>
      </w:r>
      <w:proofErr w:type="spellEnd"/>
      <w:r w:rsidR="005A00DC" w:rsidRPr="00825AC5">
        <w:rPr>
          <w:rFonts w:cs="Arial"/>
          <w:szCs w:val="24"/>
        </w:rPr>
        <w:t xml:space="preserve"> Lan</w:t>
      </w:r>
      <w:r w:rsidR="004C22A1" w:rsidRPr="00825AC5">
        <w:rPr>
          <w:rFonts w:cs="Arial"/>
          <w:szCs w:val="24"/>
        </w:rPr>
        <w:t xml:space="preserve">e of which £2.01m is profiled in 2019/20.  </w:t>
      </w:r>
      <w:r w:rsidR="005A00DC" w:rsidRPr="00825AC5">
        <w:rPr>
          <w:rFonts w:cs="Arial"/>
          <w:szCs w:val="24"/>
        </w:rPr>
        <w:t>A variance of £47</w:t>
      </w:r>
      <w:r w:rsidR="002A7DE1">
        <w:rPr>
          <w:rFonts w:cs="Arial"/>
          <w:szCs w:val="24"/>
        </w:rPr>
        <w:t>1</w:t>
      </w:r>
      <w:r w:rsidR="005A00DC" w:rsidRPr="00825AC5">
        <w:rPr>
          <w:rFonts w:cs="Arial"/>
          <w:szCs w:val="24"/>
        </w:rPr>
        <w:t xml:space="preserve">k has arisen due to the delays in identifying a suitable </w:t>
      </w:r>
      <w:r w:rsidR="004C22A1" w:rsidRPr="00825AC5">
        <w:rPr>
          <w:rFonts w:cs="Arial"/>
          <w:szCs w:val="24"/>
        </w:rPr>
        <w:t>contractor and will be slipped into 2020/21.</w:t>
      </w:r>
    </w:p>
    <w:p w14:paraId="126567F7" w14:textId="77777777" w:rsidR="00021D4C" w:rsidRPr="00825AC5" w:rsidRDefault="00021D4C" w:rsidP="00825AC5">
      <w:pPr>
        <w:ind w:left="426" w:hanging="426"/>
        <w:jc w:val="both"/>
        <w:rPr>
          <w:rFonts w:cs="Arial"/>
          <w:szCs w:val="24"/>
        </w:rPr>
      </w:pPr>
    </w:p>
    <w:p w14:paraId="69E3569F" w14:textId="1E4005F1" w:rsidR="00021D4C" w:rsidRDefault="00021D4C" w:rsidP="00825AC5">
      <w:pPr>
        <w:ind w:left="567" w:hanging="567"/>
        <w:jc w:val="both"/>
        <w:rPr>
          <w:rFonts w:cs="Arial"/>
        </w:rPr>
      </w:pPr>
      <w:r>
        <w:rPr>
          <w:rFonts w:eastAsia="Calibri" w:cs="Arial"/>
          <w:sz w:val="22"/>
          <w:szCs w:val="22"/>
        </w:rPr>
        <w:t>3.25</w:t>
      </w:r>
      <w:r w:rsidRPr="00021D4C">
        <w:rPr>
          <w:rFonts w:cs="Arial"/>
        </w:rPr>
        <w:t xml:space="preserve"> </w:t>
      </w:r>
      <w:r w:rsidR="00DD1B86" w:rsidRPr="00DD1B86">
        <w:rPr>
          <w:rFonts w:cs="Arial"/>
        </w:rPr>
        <w:t>There is an MTFS target of £500k attached to these units which will be partly achieved in 2019/20. This has been reflected in the MTFS tracker</w:t>
      </w:r>
      <w:r w:rsidR="00DD1B86">
        <w:rPr>
          <w:rFonts w:cs="Arial"/>
        </w:rPr>
        <w:t>.</w:t>
      </w:r>
      <w:r w:rsidR="00DD1B86" w:rsidRPr="00DD1B86">
        <w:rPr>
          <w:rFonts w:cs="Arial"/>
        </w:rPr>
        <w:t xml:space="preserve"> </w:t>
      </w:r>
      <w:proofErr w:type="spellStart"/>
      <w:r>
        <w:rPr>
          <w:rFonts w:cs="Arial"/>
        </w:rPr>
        <w:t>Gayton</w:t>
      </w:r>
      <w:proofErr w:type="spellEnd"/>
      <w:r>
        <w:rPr>
          <w:rFonts w:cs="Arial"/>
        </w:rPr>
        <w:t xml:space="preserve"> Road commercial unit for which a decision is still required and the balance of funding £2.302m</w:t>
      </w:r>
      <w:r w:rsidR="00573E18">
        <w:rPr>
          <w:rFonts w:cs="Arial"/>
        </w:rPr>
        <w:t xml:space="preserve"> will be requested to </w:t>
      </w:r>
      <w:r>
        <w:rPr>
          <w:rFonts w:cs="Arial"/>
        </w:rPr>
        <w:t>be slipped into 2020/21.</w:t>
      </w:r>
    </w:p>
    <w:p w14:paraId="4BB4E0B5" w14:textId="77777777" w:rsidR="00021D4C" w:rsidRDefault="00021D4C" w:rsidP="00825AC5">
      <w:pPr>
        <w:ind w:left="426" w:hanging="426"/>
        <w:jc w:val="both"/>
        <w:rPr>
          <w:rFonts w:cs="Arial"/>
        </w:rPr>
      </w:pPr>
    </w:p>
    <w:p w14:paraId="751D6FC5" w14:textId="21A7C0FA" w:rsidR="00021D4C" w:rsidRPr="00825AC5" w:rsidRDefault="00021D4C" w:rsidP="00825AC5">
      <w:pPr>
        <w:ind w:left="567" w:hanging="567"/>
        <w:jc w:val="both"/>
        <w:rPr>
          <w:rFonts w:cs="Arial"/>
        </w:rPr>
      </w:pPr>
      <w:r>
        <w:rPr>
          <w:rFonts w:cs="Arial"/>
        </w:rPr>
        <w:t xml:space="preserve">3.26 </w:t>
      </w:r>
      <w:r w:rsidR="006931B3" w:rsidRPr="00935E34">
        <w:rPr>
          <w:rFonts w:cs="Arial"/>
        </w:rPr>
        <w:t>The funding</w:t>
      </w:r>
      <w:r w:rsidR="006931B3">
        <w:rPr>
          <w:rFonts w:cs="Arial"/>
        </w:rPr>
        <w:t xml:space="preserve"> of £</w:t>
      </w:r>
      <w:r w:rsidR="000F6980">
        <w:rPr>
          <w:rFonts w:cs="Arial"/>
        </w:rPr>
        <w:t xml:space="preserve">20m </w:t>
      </w:r>
      <w:r w:rsidR="000F6980" w:rsidRPr="00935E34">
        <w:rPr>
          <w:rFonts w:cs="Arial"/>
        </w:rPr>
        <w:t>included</w:t>
      </w:r>
      <w:r w:rsidR="006931B3" w:rsidRPr="00935E34">
        <w:rPr>
          <w:rFonts w:cs="Arial"/>
        </w:rPr>
        <w:t xml:space="preserve"> for Harrow New Civic Centre and Poets Corner is included as a place holder </w:t>
      </w:r>
      <w:r w:rsidR="006931B3">
        <w:rPr>
          <w:rFonts w:cs="Arial"/>
        </w:rPr>
        <w:t xml:space="preserve">in </w:t>
      </w:r>
      <w:r w:rsidR="0057166B">
        <w:rPr>
          <w:rFonts w:cs="Arial"/>
        </w:rPr>
        <w:t>20</w:t>
      </w:r>
      <w:r w:rsidR="006931B3">
        <w:rPr>
          <w:rFonts w:cs="Arial"/>
        </w:rPr>
        <w:t xml:space="preserve">19/20 </w:t>
      </w:r>
      <w:r w:rsidR="00C602B3">
        <w:rPr>
          <w:rFonts w:cs="Arial"/>
        </w:rPr>
        <w:t xml:space="preserve">with </w:t>
      </w:r>
      <w:r w:rsidR="00C602B3" w:rsidRPr="00396290">
        <w:rPr>
          <w:rFonts w:cs="Arial"/>
        </w:rPr>
        <w:t>the H</w:t>
      </w:r>
      <w:r w:rsidR="00396290" w:rsidRPr="00825AC5">
        <w:rPr>
          <w:rFonts w:cs="Arial"/>
        </w:rPr>
        <w:t xml:space="preserve">arrow </w:t>
      </w:r>
      <w:r w:rsidR="00C602B3" w:rsidRPr="00396290">
        <w:rPr>
          <w:rFonts w:cs="Arial"/>
        </w:rPr>
        <w:t>S</w:t>
      </w:r>
      <w:r w:rsidR="00396290" w:rsidRPr="00825AC5">
        <w:rPr>
          <w:rFonts w:cs="Arial"/>
        </w:rPr>
        <w:t xml:space="preserve">trategic </w:t>
      </w:r>
      <w:r w:rsidR="00C602B3" w:rsidRPr="00396290">
        <w:rPr>
          <w:rFonts w:cs="Arial"/>
        </w:rPr>
        <w:t>D</w:t>
      </w:r>
      <w:r w:rsidR="00396290" w:rsidRPr="00825AC5">
        <w:rPr>
          <w:rFonts w:cs="Arial"/>
        </w:rPr>
        <w:t xml:space="preserve">evelopment </w:t>
      </w:r>
      <w:r w:rsidR="00C602B3" w:rsidRPr="00396290">
        <w:rPr>
          <w:rFonts w:cs="Arial"/>
        </w:rPr>
        <w:t>P</w:t>
      </w:r>
      <w:r w:rsidR="00396290" w:rsidRPr="00396290">
        <w:rPr>
          <w:rFonts w:cs="Arial"/>
        </w:rPr>
        <w:t>artnership (HSDP)</w:t>
      </w:r>
      <w:r w:rsidR="00C602B3" w:rsidRPr="00396290">
        <w:rPr>
          <w:rFonts w:cs="Arial"/>
        </w:rPr>
        <w:t xml:space="preserve"> tender informing the budget going forward</w:t>
      </w:r>
      <w:r w:rsidR="00C602B3">
        <w:rPr>
          <w:rFonts w:cs="Arial"/>
        </w:rPr>
        <w:t xml:space="preserve"> </w:t>
      </w:r>
      <w:r w:rsidR="006E1B96">
        <w:rPr>
          <w:rFonts w:cs="Arial"/>
        </w:rPr>
        <w:t>and £</w:t>
      </w:r>
      <w:r w:rsidR="00C602B3">
        <w:rPr>
          <w:rFonts w:cs="Arial"/>
        </w:rPr>
        <w:t>19.481m has been slipped into 2020/21.</w:t>
      </w:r>
      <w:r w:rsidR="006931B3">
        <w:rPr>
          <w:rFonts w:cs="Arial"/>
        </w:rPr>
        <w:t xml:space="preserve"> </w:t>
      </w:r>
    </w:p>
    <w:p w14:paraId="16D3A681" w14:textId="77777777" w:rsidR="00022E80" w:rsidRDefault="00022E80" w:rsidP="00825AC5">
      <w:pPr>
        <w:jc w:val="both"/>
      </w:pPr>
    </w:p>
    <w:p w14:paraId="0F1886C6" w14:textId="77561D29" w:rsidR="006D376F" w:rsidRPr="003634DA" w:rsidRDefault="006D376F">
      <w:pPr>
        <w:pStyle w:val="ListParagraph"/>
        <w:ind w:left="567"/>
        <w:jc w:val="both"/>
        <w:rPr>
          <w:rFonts w:cs="Arial"/>
          <w:szCs w:val="24"/>
          <w:u w:val="single"/>
        </w:rPr>
      </w:pPr>
      <w:r w:rsidRPr="003634DA">
        <w:rPr>
          <w:rFonts w:cs="Arial"/>
          <w:szCs w:val="24"/>
          <w:u w:val="single"/>
        </w:rPr>
        <w:t>Housing General Fund</w:t>
      </w:r>
    </w:p>
    <w:p w14:paraId="61C7ED25" w14:textId="77777777" w:rsidR="00DE07EE" w:rsidRDefault="006D376F">
      <w:pPr>
        <w:numPr>
          <w:ilvl w:val="0"/>
          <w:numId w:val="22"/>
        </w:numPr>
        <w:tabs>
          <w:tab w:val="left" w:pos="709"/>
        </w:tabs>
        <w:ind w:left="567" w:hanging="567"/>
        <w:jc w:val="both"/>
        <w:rPr>
          <w:rFonts w:cs="Arial"/>
          <w:szCs w:val="24"/>
        </w:rPr>
      </w:pPr>
      <w:r w:rsidRPr="007C0D59">
        <w:rPr>
          <w:rFonts w:cs="Arial"/>
          <w:szCs w:val="24"/>
        </w:rPr>
        <w:t>A</w:t>
      </w:r>
      <w:r w:rsidR="009776C7">
        <w:rPr>
          <w:rFonts w:cs="Arial"/>
          <w:szCs w:val="24"/>
        </w:rPr>
        <w:t xml:space="preserve">s </w:t>
      </w:r>
      <w:r w:rsidR="00287A95">
        <w:rPr>
          <w:rFonts w:cs="Arial"/>
          <w:szCs w:val="24"/>
        </w:rPr>
        <w:t xml:space="preserve">at </w:t>
      </w:r>
      <w:r w:rsidR="00287A95" w:rsidRPr="007C0D59">
        <w:rPr>
          <w:rFonts w:cs="Arial"/>
          <w:szCs w:val="24"/>
        </w:rPr>
        <w:t>Quarter</w:t>
      </w:r>
      <w:r w:rsidRPr="007C0D59">
        <w:rPr>
          <w:rFonts w:cs="Arial"/>
          <w:szCs w:val="24"/>
        </w:rPr>
        <w:t xml:space="preserve"> </w:t>
      </w:r>
      <w:r w:rsidR="00B17840">
        <w:rPr>
          <w:rFonts w:cs="Arial"/>
          <w:szCs w:val="24"/>
        </w:rPr>
        <w:t>2</w:t>
      </w:r>
      <w:r w:rsidR="00B17840" w:rsidRPr="007C0D59">
        <w:rPr>
          <w:rFonts w:cs="Arial"/>
          <w:szCs w:val="24"/>
        </w:rPr>
        <w:t xml:space="preserve"> </w:t>
      </w:r>
      <w:r w:rsidRPr="007C0D59">
        <w:rPr>
          <w:rFonts w:cs="Arial"/>
          <w:szCs w:val="24"/>
        </w:rPr>
        <w:t>the outturn forecast for</w:t>
      </w:r>
      <w:r w:rsidR="00D9149A">
        <w:rPr>
          <w:rFonts w:cs="Arial"/>
          <w:szCs w:val="24"/>
        </w:rPr>
        <w:t xml:space="preserve"> Housing General Fund is </w:t>
      </w:r>
      <w:r w:rsidR="00B17840">
        <w:rPr>
          <w:rFonts w:cs="Arial"/>
          <w:szCs w:val="24"/>
        </w:rPr>
        <w:t>£13.291m</w:t>
      </w:r>
      <w:r w:rsidRPr="007C0D59">
        <w:rPr>
          <w:rFonts w:cs="Arial"/>
          <w:szCs w:val="24"/>
        </w:rPr>
        <w:t xml:space="preserve"> </w:t>
      </w:r>
      <w:r w:rsidR="009776C7">
        <w:rPr>
          <w:rFonts w:cs="Arial"/>
          <w:szCs w:val="24"/>
        </w:rPr>
        <w:t xml:space="preserve">which is </w:t>
      </w:r>
      <w:r w:rsidR="00B17840">
        <w:rPr>
          <w:rFonts w:cs="Arial"/>
          <w:szCs w:val="24"/>
        </w:rPr>
        <w:t>72%</w:t>
      </w:r>
      <w:r w:rsidR="009776C7">
        <w:rPr>
          <w:rFonts w:cs="Arial"/>
          <w:szCs w:val="24"/>
        </w:rPr>
        <w:t xml:space="preserve"> of the approved £18.407m capital budget in 2019/20. </w:t>
      </w:r>
    </w:p>
    <w:p w14:paraId="73D64BFB" w14:textId="77777777" w:rsidR="00573E18" w:rsidRDefault="00573E18" w:rsidP="00825AC5">
      <w:pPr>
        <w:tabs>
          <w:tab w:val="left" w:pos="709"/>
        </w:tabs>
        <w:ind w:left="567"/>
        <w:jc w:val="both"/>
        <w:rPr>
          <w:rFonts w:cs="Arial"/>
          <w:szCs w:val="24"/>
        </w:rPr>
      </w:pPr>
    </w:p>
    <w:p w14:paraId="4A3618EB" w14:textId="1DE93C44" w:rsidR="009776C7" w:rsidRDefault="009776C7">
      <w:pPr>
        <w:numPr>
          <w:ilvl w:val="0"/>
          <w:numId w:val="22"/>
        </w:numPr>
        <w:tabs>
          <w:tab w:val="left" w:pos="709"/>
        </w:tabs>
        <w:ind w:left="567" w:hanging="567"/>
        <w:jc w:val="both"/>
        <w:rPr>
          <w:rFonts w:cs="Arial"/>
          <w:szCs w:val="24"/>
        </w:rPr>
      </w:pPr>
      <w:r>
        <w:rPr>
          <w:rFonts w:cs="Arial"/>
          <w:szCs w:val="24"/>
        </w:rPr>
        <w:t xml:space="preserve">The </w:t>
      </w:r>
      <w:r w:rsidR="003634DA" w:rsidRPr="007C0D59">
        <w:rPr>
          <w:rFonts w:cs="Arial"/>
          <w:szCs w:val="24"/>
        </w:rPr>
        <w:t>resulting forecast</w:t>
      </w:r>
      <w:r>
        <w:rPr>
          <w:rFonts w:cs="Arial"/>
          <w:szCs w:val="24"/>
        </w:rPr>
        <w:t xml:space="preserve"> variance</w:t>
      </w:r>
      <w:r w:rsidR="006D376F" w:rsidRPr="007C0D59">
        <w:rPr>
          <w:rFonts w:cs="Arial"/>
          <w:szCs w:val="24"/>
        </w:rPr>
        <w:t xml:space="preserve"> of </w:t>
      </w:r>
      <w:r w:rsidR="00F8462D">
        <w:rPr>
          <w:rFonts w:cs="Arial"/>
          <w:szCs w:val="24"/>
        </w:rPr>
        <w:t>(</w:t>
      </w:r>
      <w:r w:rsidR="00B17840">
        <w:rPr>
          <w:rFonts w:cs="Arial"/>
          <w:szCs w:val="24"/>
        </w:rPr>
        <w:t>£5.116m</w:t>
      </w:r>
      <w:r w:rsidR="00F8462D">
        <w:rPr>
          <w:rFonts w:cs="Arial"/>
          <w:szCs w:val="24"/>
        </w:rPr>
        <w:t>)</w:t>
      </w:r>
      <w:r w:rsidR="006D376F" w:rsidRPr="007C0D59">
        <w:rPr>
          <w:rFonts w:cs="Arial"/>
          <w:szCs w:val="24"/>
        </w:rPr>
        <w:t xml:space="preserve"> </w:t>
      </w:r>
      <w:r w:rsidR="00B17840">
        <w:rPr>
          <w:rFonts w:cs="Arial"/>
          <w:szCs w:val="24"/>
        </w:rPr>
        <w:t xml:space="preserve">is </w:t>
      </w:r>
      <w:r w:rsidR="006D376F" w:rsidRPr="007C0D59">
        <w:rPr>
          <w:rFonts w:cs="Arial"/>
          <w:szCs w:val="24"/>
        </w:rPr>
        <w:t>attributable to the Property Acquisition Programme</w:t>
      </w:r>
      <w:r>
        <w:rPr>
          <w:rFonts w:cs="Arial"/>
          <w:szCs w:val="24"/>
        </w:rPr>
        <w:t xml:space="preserve"> </w:t>
      </w:r>
      <w:r w:rsidR="00B17840">
        <w:rPr>
          <w:rFonts w:cs="Arial"/>
          <w:szCs w:val="24"/>
        </w:rPr>
        <w:t xml:space="preserve">£4.196m, Disabled Facilities Grant £848k and Empty Property Grants £72k. </w:t>
      </w:r>
      <w:r w:rsidR="00CE6018">
        <w:rPr>
          <w:rFonts w:cs="Arial"/>
          <w:szCs w:val="24"/>
        </w:rPr>
        <w:t xml:space="preserve">Slippage of £4.196m is attributable to the Property Acquisition Programme with </w:t>
      </w:r>
      <w:r w:rsidR="0057166B">
        <w:rPr>
          <w:rFonts w:cs="Arial"/>
          <w:szCs w:val="24"/>
        </w:rPr>
        <w:t xml:space="preserve">the </w:t>
      </w:r>
      <w:r w:rsidR="00CE6018">
        <w:rPr>
          <w:rFonts w:cs="Arial"/>
          <w:szCs w:val="24"/>
        </w:rPr>
        <w:t xml:space="preserve">remainder treated </w:t>
      </w:r>
      <w:r w:rsidR="009A3E20">
        <w:rPr>
          <w:rFonts w:cs="Arial"/>
          <w:szCs w:val="24"/>
        </w:rPr>
        <w:t xml:space="preserve">as </w:t>
      </w:r>
      <w:r w:rsidR="0057166B">
        <w:rPr>
          <w:rFonts w:cs="Arial"/>
          <w:szCs w:val="24"/>
        </w:rPr>
        <w:t xml:space="preserve">an </w:t>
      </w:r>
      <w:r w:rsidR="009A3E20">
        <w:rPr>
          <w:rFonts w:cs="Arial"/>
          <w:szCs w:val="24"/>
        </w:rPr>
        <w:t>underspend.</w:t>
      </w:r>
    </w:p>
    <w:p w14:paraId="3A252F95" w14:textId="77777777" w:rsidR="009776C7" w:rsidRDefault="009776C7">
      <w:pPr>
        <w:tabs>
          <w:tab w:val="left" w:pos="709"/>
        </w:tabs>
        <w:ind w:left="567"/>
        <w:jc w:val="both"/>
        <w:rPr>
          <w:rFonts w:cs="Arial"/>
          <w:szCs w:val="24"/>
        </w:rPr>
      </w:pPr>
    </w:p>
    <w:p w14:paraId="05B6752C" w14:textId="5A060ACE" w:rsidR="009776C7" w:rsidRDefault="009776C7">
      <w:pPr>
        <w:numPr>
          <w:ilvl w:val="0"/>
          <w:numId w:val="22"/>
        </w:numPr>
        <w:tabs>
          <w:tab w:val="left" w:pos="709"/>
        </w:tabs>
        <w:ind w:left="567" w:hanging="567"/>
        <w:jc w:val="both"/>
        <w:rPr>
          <w:rFonts w:cs="Arial"/>
          <w:szCs w:val="24"/>
        </w:rPr>
      </w:pPr>
      <w:r w:rsidRPr="009776C7">
        <w:rPr>
          <w:rFonts w:cs="Arial"/>
          <w:szCs w:val="24"/>
        </w:rPr>
        <w:t xml:space="preserve">Cabinet approved drawdown of up to £10.8m of the original £15m </w:t>
      </w:r>
      <w:r w:rsidR="00306977">
        <w:rPr>
          <w:rFonts w:cs="Arial"/>
          <w:szCs w:val="24"/>
        </w:rPr>
        <w:t xml:space="preserve">allocated to the Property Acquisition Programme </w:t>
      </w:r>
      <w:r w:rsidRPr="009776C7">
        <w:rPr>
          <w:rFonts w:cs="Arial"/>
          <w:szCs w:val="24"/>
        </w:rPr>
        <w:t xml:space="preserve">to alleviate the costs of homelessness pressures. The </w:t>
      </w:r>
      <w:r w:rsidR="009E6B37">
        <w:rPr>
          <w:rFonts w:cs="Arial"/>
          <w:szCs w:val="24"/>
        </w:rPr>
        <w:t>remainder</w:t>
      </w:r>
      <w:r w:rsidRPr="009776C7">
        <w:rPr>
          <w:rFonts w:cs="Arial"/>
          <w:szCs w:val="24"/>
        </w:rPr>
        <w:t xml:space="preserve"> will be unlocked on proviso</w:t>
      </w:r>
      <w:r w:rsidR="0057166B">
        <w:rPr>
          <w:rFonts w:cs="Arial"/>
          <w:szCs w:val="24"/>
        </w:rPr>
        <w:t xml:space="preserve"> that</w:t>
      </w:r>
      <w:r w:rsidRPr="009776C7">
        <w:rPr>
          <w:rFonts w:cs="Arial"/>
          <w:szCs w:val="24"/>
        </w:rPr>
        <w:t xml:space="preserve"> financial viability can be demonstrated. Market conditions remain uncertain and financial </w:t>
      </w:r>
      <w:r w:rsidRPr="009776C7">
        <w:rPr>
          <w:rFonts w:cs="Arial"/>
          <w:szCs w:val="24"/>
        </w:rPr>
        <w:lastRenderedPageBreak/>
        <w:t xml:space="preserve">modelling is in </w:t>
      </w:r>
      <w:r w:rsidR="006E1B96" w:rsidRPr="009776C7">
        <w:rPr>
          <w:rFonts w:cs="Arial"/>
          <w:szCs w:val="24"/>
        </w:rPr>
        <w:t>progress</w:t>
      </w:r>
      <w:r w:rsidR="006E1B96">
        <w:rPr>
          <w:rFonts w:cs="Arial"/>
          <w:szCs w:val="24"/>
        </w:rPr>
        <w:t xml:space="preserve"> therefore</w:t>
      </w:r>
      <w:r w:rsidR="009E6B37">
        <w:rPr>
          <w:rFonts w:cs="Arial"/>
          <w:szCs w:val="24"/>
        </w:rPr>
        <w:t xml:space="preserve"> the</w:t>
      </w:r>
      <w:r w:rsidRPr="009776C7">
        <w:rPr>
          <w:rFonts w:cs="Arial"/>
          <w:szCs w:val="24"/>
        </w:rPr>
        <w:t xml:space="preserve"> unspent budget of </w:t>
      </w:r>
      <w:r w:rsidR="009E6B37">
        <w:rPr>
          <w:rFonts w:cs="Arial"/>
          <w:szCs w:val="24"/>
        </w:rPr>
        <w:t>£4.196m</w:t>
      </w:r>
      <w:r w:rsidRPr="009776C7">
        <w:rPr>
          <w:rFonts w:cs="Arial"/>
          <w:szCs w:val="24"/>
        </w:rPr>
        <w:t xml:space="preserve"> </w:t>
      </w:r>
      <w:r w:rsidR="00D53FAC">
        <w:rPr>
          <w:rFonts w:cs="Arial"/>
          <w:szCs w:val="24"/>
        </w:rPr>
        <w:t>will be request</w:t>
      </w:r>
      <w:r w:rsidR="00297D4C">
        <w:rPr>
          <w:rFonts w:cs="Arial"/>
          <w:szCs w:val="24"/>
        </w:rPr>
        <w:t>ed</w:t>
      </w:r>
      <w:r w:rsidR="00D53FAC">
        <w:rPr>
          <w:rFonts w:cs="Arial"/>
          <w:szCs w:val="24"/>
        </w:rPr>
        <w:t xml:space="preserve"> to </w:t>
      </w:r>
      <w:r w:rsidR="006E1B96">
        <w:rPr>
          <w:rFonts w:cs="Arial"/>
          <w:szCs w:val="24"/>
        </w:rPr>
        <w:t>slip</w:t>
      </w:r>
      <w:r w:rsidR="00D53FAC">
        <w:rPr>
          <w:rFonts w:cs="Arial"/>
          <w:szCs w:val="24"/>
        </w:rPr>
        <w:t xml:space="preserve"> into 2020/21</w:t>
      </w:r>
      <w:r w:rsidRPr="009776C7">
        <w:rPr>
          <w:rFonts w:cs="Arial"/>
          <w:szCs w:val="24"/>
        </w:rPr>
        <w:t>.</w:t>
      </w:r>
      <w:r w:rsidR="00D53FAC">
        <w:rPr>
          <w:rFonts w:cs="Arial"/>
          <w:szCs w:val="24"/>
        </w:rPr>
        <w:t xml:space="preserve"> </w:t>
      </w:r>
    </w:p>
    <w:p w14:paraId="70B1DD57" w14:textId="77777777" w:rsidR="00303946" w:rsidRDefault="00303946" w:rsidP="00825AC5">
      <w:pPr>
        <w:pStyle w:val="ListParagraph"/>
        <w:jc w:val="both"/>
        <w:rPr>
          <w:rFonts w:cs="Arial"/>
          <w:szCs w:val="24"/>
        </w:rPr>
      </w:pPr>
    </w:p>
    <w:p w14:paraId="4AA8831E" w14:textId="165A7AE5" w:rsidR="0021339E" w:rsidRPr="00297D4C" w:rsidRDefault="0021339E" w:rsidP="00825AC5">
      <w:pPr>
        <w:numPr>
          <w:ilvl w:val="0"/>
          <w:numId w:val="22"/>
        </w:numPr>
        <w:tabs>
          <w:tab w:val="left" w:pos="709"/>
        </w:tabs>
        <w:ind w:left="567" w:hanging="567"/>
        <w:jc w:val="both"/>
        <w:rPr>
          <w:rFonts w:cs="Arial"/>
          <w:szCs w:val="24"/>
        </w:rPr>
      </w:pPr>
      <w:r w:rsidRPr="00297D4C">
        <w:rPr>
          <w:rFonts w:cs="Arial"/>
          <w:szCs w:val="24"/>
        </w:rPr>
        <w:t xml:space="preserve">The underspend on Disabled Facilities Grant of £848k is due to a review of caseloads indicating not </w:t>
      </w:r>
      <w:r w:rsidR="006E1B96" w:rsidRPr="00297D4C">
        <w:rPr>
          <w:rFonts w:cs="Arial"/>
          <w:szCs w:val="24"/>
        </w:rPr>
        <w:t>the entire</w:t>
      </w:r>
      <w:r w:rsidRPr="00297D4C">
        <w:rPr>
          <w:rFonts w:cs="Arial"/>
          <w:szCs w:val="24"/>
        </w:rPr>
        <w:t xml:space="preserve"> budget will be required in 2019/20. Underspend on E</w:t>
      </w:r>
      <w:r w:rsidR="00D53FAC" w:rsidRPr="00297D4C">
        <w:rPr>
          <w:rFonts w:cs="Arial"/>
          <w:szCs w:val="24"/>
        </w:rPr>
        <w:t xml:space="preserve">mpty </w:t>
      </w:r>
      <w:r w:rsidRPr="00297D4C">
        <w:rPr>
          <w:rFonts w:cs="Arial"/>
          <w:szCs w:val="24"/>
        </w:rPr>
        <w:t>P</w:t>
      </w:r>
      <w:r w:rsidR="00D53FAC" w:rsidRPr="00297D4C">
        <w:rPr>
          <w:rFonts w:cs="Arial"/>
          <w:szCs w:val="24"/>
        </w:rPr>
        <w:t xml:space="preserve">roperty </w:t>
      </w:r>
      <w:r w:rsidRPr="00297D4C">
        <w:rPr>
          <w:rFonts w:cs="Arial"/>
          <w:szCs w:val="24"/>
        </w:rPr>
        <w:t>G</w:t>
      </w:r>
      <w:r w:rsidR="00D53FAC" w:rsidRPr="00297D4C">
        <w:rPr>
          <w:rFonts w:cs="Arial"/>
          <w:szCs w:val="24"/>
        </w:rPr>
        <w:t>rant project</w:t>
      </w:r>
      <w:r w:rsidRPr="00297D4C">
        <w:rPr>
          <w:rFonts w:cs="Arial"/>
          <w:szCs w:val="24"/>
        </w:rPr>
        <w:t xml:space="preserve"> of £72k </w:t>
      </w:r>
      <w:r w:rsidR="00D53FAC" w:rsidRPr="00297D4C">
        <w:rPr>
          <w:rFonts w:cs="Arial"/>
          <w:szCs w:val="24"/>
        </w:rPr>
        <w:t xml:space="preserve">is </w:t>
      </w:r>
      <w:r w:rsidRPr="00297D4C">
        <w:rPr>
          <w:rFonts w:cs="Arial"/>
          <w:szCs w:val="24"/>
        </w:rPr>
        <w:t xml:space="preserve">due to lower than expected </w:t>
      </w:r>
      <w:r w:rsidR="006E1B96" w:rsidRPr="00297D4C">
        <w:rPr>
          <w:rFonts w:cs="Arial"/>
          <w:szCs w:val="24"/>
        </w:rPr>
        <w:t>take up</w:t>
      </w:r>
      <w:r w:rsidRPr="00297D4C">
        <w:rPr>
          <w:rFonts w:cs="Arial"/>
          <w:szCs w:val="24"/>
        </w:rPr>
        <w:t xml:space="preserve"> of grants from </w:t>
      </w:r>
      <w:r w:rsidR="006E1B96" w:rsidRPr="00297D4C">
        <w:rPr>
          <w:rFonts w:cs="Arial"/>
          <w:szCs w:val="24"/>
        </w:rPr>
        <w:t>private</w:t>
      </w:r>
      <w:r w:rsidRPr="00297D4C">
        <w:rPr>
          <w:rFonts w:cs="Arial"/>
          <w:szCs w:val="24"/>
        </w:rPr>
        <w:t xml:space="preserve"> land lords.</w:t>
      </w:r>
    </w:p>
    <w:p w14:paraId="3DBAE5EC" w14:textId="77777777" w:rsidR="0021339E" w:rsidRDefault="0021339E" w:rsidP="00825AC5">
      <w:pPr>
        <w:pStyle w:val="ListParagraph"/>
        <w:jc w:val="both"/>
        <w:rPr>
          <w:rFonts w:cs="Arial"/>
          <w:szCs w:val="24"/>
        </w:rPr>
      </w:pPr>
    </w:p>
    <w:p w14:paraId="42C73E67" w14:textId="1D4E072D" w:rsidR="00303946" w:rsidRPr="009776C7" w:rsidRDefault="00303946">
      <w:pPr>
        <w:numPr>
          <w:ilvl w:val="0"/>
          <w:numId w:val="22"/>
        </w:numPr>
        <w:tabs>
          <w:tab w:val="left" w:pos="709"/>
        </w:tabs>
        <w:ind w:left="567" w:hanging="567"/>
        <w:jc w:val="both"/>
        <w:rPr>
          <w:rFonts w:cs="Arial"/>
          <w:szCs w:val="24"/>
        </w:rPr>
      </w:pPr>
      <w:r>
        <w:t xml:space="preserve">There are no implications </w:t>
      </w:r>
      <w:r w:rsidR="00B17307">
        <w:t xml:space="preserve">on the revenue budget </w:t>
      </w:r>
      <w:r>
        <w:t xml:space="preserve">as </w:t>
      </w:r>
      <w:r w:rsidR="00B17307">
        <w:t xml:space="preserve">a </w:t>
      </w:r>
      <w:r>
        <w:t>result of this slippage in 2019/20.</w:t>
      </w:r>
    </w:p>
    <w:p w14:paraId="1A090208" w14:textId="77777777" w:rsidR="00B17840" w:rsidRDefault="00B17840">
      <w:pPr>
        <w:ind w:left="567" w:hanging="567"/>
        <w:jc w:val="both"/>
        <w:rPr>
          <w:rFonts w:cs="Arial"/>
          <w:szCs w:val="24"/>
          <w:lang w:val="en-US"/>
        </w:rPr>
      </w:pPr>
    </w:p>
    <w:p w14:paraId="2FEEAE29" w14:textId="77777777" w:rsidR="00637ACD" w:rsidRDefault="00637ACD">
      <w:pPr>
        <w:ind w:left="567" w:hanging="567"/>
        <w:jc w:val="both"/>
        <w:rPr>
          <w:rFonts w:cs="Arial"/>
          <w:szCs w:val="24"/>
          <w:lang w:val="en-US"/>
        </w:rPr>
      </w:pPr>
    </w:p>
    <w:p w14:paraId="4DD6121C" w14:textId="39469909" w:rsidR="00B329CE" w:rsidRPr="007C0D59" w:rsidRDefault="00B329CE">
      <w:pPr>
        <w:ind w:firstLine="567"/>
        <w:jc w:val="both"/>
        <w:rPr>
          <w:rFonts w:cs="Arial"/>
          <w:b/>
          <w:szCs w:val="24"/>
          <w:u w:val="single"/>
        </w:rPr>
      </w:pPr>
      <w:r w:rsidRPr="007C0D59">
        <w:rPr>
          <w:rFonts w:cs="Arial"/>
          <w:b/>
          <w:szCs w:val="24"/>
          <w:u w:val="single"/>
        </w:rPr>
        <w:t>PEOPLE</w:t>
      </w:r>
      <w:r w:rsidR="002D4934" w:rsidRPr="007C0D59">
        <w:rPr>
          <w:rFonts w:cs="Arial"/>
          <w:b/>
          <w:szCs w:val="24"/>
          <w:u w:val="single"/>
        </w:rPr>
        <w:t xml:space="preserve"> SERVICES</w:t>
      </w:r>
    </w:p>
    <w:p w14:paraId="28819DF4" w14:textId="26ADDDBF" w:rsidR="00C57DF6" w:rsidRPr="007C0D59" w:rsidRDefault="00C57DF6">
      <w:pPr>
        <w:pStyle w:val="ListParagraph"/>
        <w:numPr>
          <w:ilvl w:val="0"/>
          <w:numId w:val="22"/>
        </w:numPr>
        <w:tabs>
          <w:tab w:val="left" w:pos="567"/>
        </w:tabs>
        <w:ind w:left="567" w:hanging="567"/>
        <w:jc w:val="both"/>
        <w:rPr>
          <w:rFonts w:cs="Arial"/>
          <w:szCs w:val="24"/>
        </w:rPr>
      </w:pPr>
      <w:r w:rsidRPr="007C0D59">
        <w:rPr>
          <w:rFonts w:cs="Arial"/>
          <w:bCs/>
          <w:szCs w:val="24"/>
        </w:rPr>
        <w:t xml:space="preserve">As at Quarter </w:t>
      </w:r>
      <w:r w:rsidR="00DE07EE">
        <w:rPr>
          <w:rFonts w:cs="Arial"/>
          <w:bCs/>
          <w:szCs w:val="24"/>
        </w:rPr>
        <w:t>2</w:t>
      </w:r>
      <w:r w:rsidRPr="007C0D59">
        <w:rPr>
          <w:rFonts w:cs="Arial"/>
          <w:bCs/>
          <w:szCs w:val="24"/>
        </w:rPr>
        <w:t xml:space="preserve"> </w:t>
      </w:r>
      <w:r w:rsidR="002D4934" w:rsidRPr="007C0D59">
        <w:rPr>
          <w:rFonts w:cs="Arial"/>
          <w:bCs/>
          <w:szCs w:val="24"/>
        </w:rPr>
        <w:t>People Services</w:t>
      </w:r>
      <w:r w:rsidRPr="007C0D59">
        <w:rPr>
          <w:rFonts w:cs="Arial"/>
          <w:bCs/>
          <w:szCs w:val="24"/>
        </w:rPr>
        <w:t xml:space="preserve"> is forecasting overall spend of £</w:t>
      </w:r>
      <w:r w:rsidR="00E85725">
        <w:rPr>
          <w:rFonts w:cs="Arial"/>
          <w:bCs/>
          <w:szCs w:val="24"/>
        </w:rPr>
        <w:t>1</w:t>
      </w:r>
      <w:r w:rsidR="00DE07EE">
        <w:rPr>
          <w:rFonts w:cs="Arial"/>
          <w:bCs/>
          <w:szCs w:val="24"/>
        </w:rPr>
        <w:t>0.8</w:t>
      </w:r>
      <w:r w:rsidR="00A4186E">
        <w:rPr>
          <w:rFonts w:cs="Arial"/>
          <w:bCs/>
          <w:szCs w:val="24"/>
        </w:rPr>
        <w:t>4</w:t>
      </w:r>
      <w:r w:rsidR="00DD1B86">
        <w:rPr>
          <w:rFonts w:cs="Arial"/>
          <w:bCs/>
          <w:szCs w:val="24"/>
        </w:rPr>
        <w:t>0</w:t>
      </w:r>
      <w:r w:rsidR="00B27CB1">
        <w:rPr>
          <w:rFonts w:cs="Arial"/>
          <w:bCs/>
          <w:szCs w:val="24"/>
        </w:rPr>
        <w:t>m</w:t>
      </w:r>
      <w:r w:rsidRPr="009E4B36">
        <w:rPr>
          <w:rFonts w:cs="Arial"/>
          <w:bCs/>
          <w:szCs w:val="24"/>
        </w:rPr>
        <w:t xml:space="preserve">, which is </w:t>
      </w:r>
      <w:r w:rsidR="00DE07EE">
        <w:rPr>
          <w:rFonts w:cs="Arial"/>
          <w:bCs/>
          <w:szCs w:val="24"/>
        </w:rPr>
        <w:t>37</w:t>
      </w:r>
      <w:r w:rsidRPr="00CA0075">
        <w:rPr>
          <w:rFonts w:cs="Arial"/>
          <w:bCs/>
          <w:szCs w:val="24"/>
        </w:rPr>
        <w:t>% of the approved £</w:t>
      </w:r>
      <w:r w:rsidR="00B27CB1">
        <w:rPr>
          <w:rFonts w:cs="Arial"/>
          <w:bCs/>
          <w:szCs w:val="24"/>
        </w:rPr>
        <w:t>2</w:t>
      </w:r>
      <w:r w:rsidR="00DE07EE">
        <w:rPr>
          <w:rFonts w:cs="Arial"/>
          <w:bCs/>
          <w:szCs w:val="24"/>
        </w:rPr>
        <w:t>9.0</w:t>
      </w:r>
      <w:r w:rsidR="00CA4E29">
        <w:rPr>
          <w:rFonts w:cs="Arial"/>
          <w:bCs/>
          <w:szCs w:val="24"/>
        </w:rPr>
        <w:t>60</w:t>
      </w:r>
      <w:r w:rsidRPr="00CA0075">
        <w:rPr>
          <w:rFonts w:cs="Arial"/>
          <w:bCs/>
          <w:szCs w:val="24"/>
        </w:rPr>
        <w:t xml:space="preserve">m capital </w:t>
      </w:r>
      <w:r w:rsidRPr="009E4B36">
        <w:rPr>
          <w:rFonts w:cs="Arial"/>
          <w:bCs/>
          <w:szCs w:val="24"/>
        </w:rPr>
        <w:t>budget</w:t>
      </w:r>
      <w:r w:rsidR="008D011A">
        <w:rPr>
          <w:rFonts w:cs="Arial"/>
          <w:bCs/>
          <w:szCs w:val="24"/>
        </w:rPr>
        <w:t>.</w:t>
      </w:r>
    </w:p>
    <w:p w14:paraId="0F95750E" w14:textId="77777777" w:rsidR="0015034B" w:rsidRPr="007C0D59" w:rsidRDefault="0015034B">
      <w:pPr>
        <w:pStyle w:val="ListParagraph"/>
        <w:tabs>
          <w:tab w:val="left" w:pos="567"/>
        </w:tabs>
        <w:ind w:left="709" w:hanging="709"/>
        <w:jc w:val="both"/>
        <w:rPr>
          <w:rFonts w:cs="Arial"/>
          <w:szCs w:val="24"/>
        </w:rPr>
      </w:pPr>
    </w:p>
    <w:p w14:paraId="73B864A3" w14:textId="13833239" w:rsidR="0015034B" w:rsidRPr="00D7661F" w:rsidRDefault="0015034B">
      <w:pPr>
        <w:pStyle w:val="ListParagraph"/>
        <w:numPr>
          <w:ilvl w:val="0"/>
          <w:numId w:val="22"/>
        </w:numPr>
        <w:tabs>
          <w:tab w:val="left" w:pos="567"/>
        </w:tabs>
        <w:ind w:left="567" w:hanging="567"/>
        <w:jc w:val="both"/>
        <w:rPr>
          <w:rFonts w:cs="Arial"/>
          <w:szCs w:val="24"/>
        </w:rPr>
      </w:pPr>
      <w:r w:rsidRPr="007C0D59">
        <w:rPr>
          <w:rFonts w:cs="Arial"/>
          <w:bCs/>
          <w:szCs w:val="24"/>
        </w:rPr>
        <w:t xml:space="preserve">The forecast variance </w:t>
      </w:r>
      <w:r w:rsidR="00CA4E29">
        <w:rPr>
          <w:rFonts w:cs="Arial"/>
          <w:bCs/>
          <w:szCs w:val="24"/>
        </w:rPr>
        <w:t>of</w:t>
      </w:r>
      <w:r w:rsidRPr="007C0D59">
        <w:rPr>
          <w:rFonts w:cs="Arial"/>
          <w:bCs/>
          <w:szCs w:val="24"/>
        </w:rPr>
        <w:t xml:space="preserve"> (£</w:t>
      </w:r>
      <w:r w:rsidR="00B27CB1">
        <w:rPr>
          <w:rFonts w:cs="Arial"/>
          <w:bCs/>
          <w:szCs w:val="24"/>
        </w:rPr>
        <w:t>1</w:t>
      </w:r>
      <w:r w:rsidR="00DE07EE">
        <w:rPr>
          <w:rFonts w:cs="Arial"/>
          <w:bCs/>
          <w:szCs w:val="24"/>
        </w:rPr>
        <w:t>8.220</w:t>
      </w:r>
      <w:r w:rsidRPr="00CA0075">
        <w:rPr>
          <w:rFonts w:cs="Arial"/>
          <w:bCs/>
          <w:szCs w:val="24"/>
        </w:rPr>
        <w:t xml:space="preserve">m) </w:t>
      </w:r>
      <w:r w:rsidRPr="00221D9F">
        <w:rPr>
          <w:rFonts w:cs="Arial"/>
          <w:bCs/>
          <w:szCs w:val="24"/>
        </w:rPr>
        <w:t xml:space="preserve">will </w:t>
      </w:r>
      <w:r w:rsidR="00CA4E29">
        <w:rPr>
          <w:rFonts w:cs="Arial"/>
          <w:bCs/>
          <w:szCs w:val="24"/>
        </w:rPr>
        <w:t xml:space="preserve">all </w:t>
      </w:r>
      <w:r w:rsidRPr="00221D9F">
        <w:rPr>
          <w:rFonts w:cs="Arial"/>
          <w:bCs/>
          <w:szCs w:val="24"/>
        </w:rPr>
        <w:t xml:space="preserve">be </w:t>
      </w:r>
      <w:r w:rsidR="00CA4E29">
        <w:rPr>
          <w:rFonts w:cs="Arial"/>
          <w:bCs/>
          <w:szCs w:val="24"/>
        </w:rPr>
        <w:t>requested for slippage</w:t>
      </w:r>
      <w:r w:rsidRPr="00221D9F">
        <w:rPr>
          <w:rFonts w:cs="Arial"/>
          <w:bCs/>
          <w:szCs w:val="24"/>
        </w:rPr>
        <w:t xml:space="preserve"> </w:t>
      </w:r>
      <w:r w:rsidR="00CA4E29">
        <w:rPr>
          <w:rFonts w:cs="Arial"/>
          <w:bCs/>
          <w:szCs w:val="24"/>
        </w:rPr>
        <w:t>in</w:t>
      </w:r>
      <w:r w:rsidRPr="00221D9F">
        <w:rPr>
          <w:rFonts w:cs="Arial"/>
          <w:bCs/>
          <w:szCs w:val="24"/>
        </w:rPr>
        <w:t>to 2020/21</w:t>
      </w:r>
      <w:r w:rsidR="00B27CB1">
        <w:rPr>
          <w:rFonts w:cs="Arial"/>
          <w:bCs/>
          <w:szCs w:val="24"/>
        </w:rPr>
        <w:t>.</w:t>
      </w:r>
      <w:r w:rsidRPr="009E4B36">
        <w:rPr>
          <w:rFonts w:cs="Arial"/>
          <w:bCs/>
          <w:szCs w:val="24"/>
        </w:rPr>
        <w:t xml:space="preserve"> The main items of slippage</w:t>
      </w:r>
      <w:r w:rsidRPr="007C0D59">
        <w:rPr>
          <w:rFonts w:cs="Arial"/>
          <w:bCs/>
          <w:szCs w:val="24"/>
        </w:rPr>
        <w:t xml:space="preserve"> are detailed below:</w:t>
      </w:r>
    </w:p>
    <w:p w14:paraId="09ADC721" w14:textId="77777777" w:rsidR="00C942DB" w:rsidRDefault="00C942DB" w:rsidP="00825AC5">
      <w:pPr>
        <w:pStyle w:val="ListParagraph"/>
        <w:jc w:val="both"/>
        <w:rPr>
          <w:rFonts w:cs="Arial"/>
          <w:szCs w:val="24"/>
        </w:rPr>
      </w:pPr>
    </w:p>
    <w:p w14:paraId="27BE8769" w14:textId="4BD3A43A" w:rsidR="00CB7A10" w:rsidRPr="00825AC5" w:rsidRDefault="00CB7A10" w:rsidP="00825AC5">
      <w:pPr>
        <w:ind w:firstLine="567"/>
        <w:jc w:val="both"/>
        <w:rPr>
          <w:rFonts w:cs="Arial"/>
          <w:szCs w:val="24"/>
          <w:u w:val="single"/>
        </w:rPr>
      </w:pPr>
      <w:r w:rsidRPr="00825AC5">
        <w:rPr>
          <w:rFonts w:cs="Arial"/>
          <w:szCs w:val="24"/>
          <w:u w:val="single"/>
        </w:rPr>
        <w:t>Adults Services</w:t>
      </w:r>
    </w:p>
    <w:p w14:paraId="24BBD1E6" w14:textId="679A22CD" w:rsidR="00CB7A10" w:rsidRPr="007C0D59" w:rsidRDefault="00CB7A10">
      <w:pPr>
        <w:pStyle w:val="ListParagraph"/>
        <w:numPr>
          <w:ilvl w:val="0"/>
          <w:numId w:val="22"/>
        </w:numPr>
        <w:tabs>
          <w:tab w:val="left" w:pos="567"/>
        </w:tabs>
        <w:ind w:left="567" w:hanging="567"/>
        <w:jc w:val="both"/>
        <w:rPr>
          <w:rFonts w:cs="Arial"/>
          <w:szCs w:val="24"/>
        </w:rPr>
      </w:pPr>
      <w:r w:rsidRPr="00CB7A10">
        <w:rPr>
          <w:rFonts w:cs="Arial"/>
          <w:szCs w:val="24"/>
        </w:rPr>
        <w:t>At Quarter 2</w:t>
      </w:r>
      <w:r w:rsidR="005A2C5E">
        <w:rPr>
          <w:rFonts w:cs="Arial"/>
          <w:szCs w:val="24"/>
        </w:rPr>
        <w:t xml:space="preserve">, </w:t>
      </w:r>
      <w:r w:rsidRPr="00CB7A10">
        <w:rPr>
          <w:rFonts w:cs="Arial"/>
          <w:szCs w:val="24"/>
        </w:rPr>
        <w:t>the outturn forecast for Adult Services remains at £291k resulting in a planned slippage of £100k for In House Residential Services</w:t>
      </w:r>
      <w:r w:rsidR="00110D8C">
        <w:rPr>
          <w:rFonts w:cs="Arial"/>
          <w:szCs w:val="24"/>
        </w:rPr>
        <w:t>.</w:t>
      </w:r>
      <w:r w:rsidRPr="00CB7A10">
        <w:rPr>
          <w:rFonts w:cs="Arial"/>
          <w:szCs w:val="24"/>
        </w:rPr>
        <w:t xml:space="preserve"> </w:t>
      </w:r>
      <w:r w:rsidRPr="00CB7A10">
        <w:rPr>
          <w:rFonts w:cs="Arial"/>
          <w:bCs/>
          <w:szCs w:val="24"/>
        </w:rPr>
        <w:t xml:space="preserve">There </w:t>
      </w:r>
      <w:r w:rsidR="007123C2">
        <w:rPr>
          <w:rFonts w:cs="Arial"/>
          <w:bCs/>
          <w:szCs w:val="24"/>
        </w:rPr>
        <w:t>is</w:t>
      </w:r>
      <w:r w:rsidRPr="00CB7A10">
        <w:rPr>
          <w:rFonts w:cs="Arial"/>
          <w:bCs/>
          <w:szCs w:val="24"/>
        </w:rPr>
        <w:t xml:space="preserve"> no revenue budget implications as a result of this slippage</w:t>
      </w:r>
      <w:r w:rsidR="00866A77">
        <w:rPr>
          <w:rFonts w:cs="Arial"/>
          <w:bCs/>
          <w:szCs w:val="24"/>
        </w:rPr>
        <w:t>.</w:t>
      </w:r>
    </w:p>
    <w:p w14:paraId="6412BEEF" w14:textId="3D6E8459" w:rsidR="00FD5475" w:rsidRDefault="0023702C">
      <w:pPr>
        <w:ind w:firstLine="567"/>
        <w:jc w:val="both"/>
        <w:rPr>
          <w:rFonts w:cs="Arial"/>
          <w:szCs w:val="24"/>
          <w:u w:val="single"/>
        </w:rPr>
      </w:pPr>
      <w:r w:rsidRPr="003634DA">
        <w:rPr>
          <w:rFonts w:cs="Arial"/>
          <w:szCs w:val="24"/>
        </w:rPr>
        <w:tab/>
      </w:r>
      <w:r w:rsidRPr="003634DA">
        <w:rPr>
          <w:rFonts w:cs="Arial"/>
          <w:szCs w:val="24"/>
        </w:rPr>
        <w:tab/>
      </w:r>
    </w:p>
    <w:p w14:paraId="21F652D9" w14:textId="77777777" w:rsidR="00F771E5" w:rsidRPr="007C0D59" w:rsidRDefault="00F771E5">
      <w:pPr>
        <w:ind w:firstLine="567"/>
        <w:jc w:val="both"/>
        <w:rPr>
          <w:rFonts w:cs="Arial"/>
          <w:szCs w:val="24"/>
          <w:u w:val="single"/>
        </w:rPr>
      </w:pPr>
      <w:r w:rsidRPr="007C0D59">
        <w:rPr>
          <w:rFonts w:cs="Arial"/>
          <w:szCs w:val="24"/>
          <w:u w:val="single"/>
        </w:rPr>
        <w:t>Public Health</w:t>
      </w:r>
    </w:p>
    <w:p w14:paraId="2D9F10E9" w14:textId="185BE89E" w:rsidR="00F771E5" w:rsidRDefault="00F86520" w:rsidP="00825AC5">
      <w:pPr>
        <w:pStyle w:val="ListParagraph"/>
        <w:numPr>
          <w:ilvl w:val="0"/>
          <w:numId w:val="22"/>
        </w:numPr>
        <w:tabs>
          <w:tab w:val="left" w:pos="567"/>
        </w:tabs>
        <w:ind w:left="567" w:hanging="567"/>
        <w:jc w:val="both"/>
        <w:rPr>
          <w:rFonts w:cs="Arial"/>
          <w:szCs w:val="24"/>
        </w:rPr>
      </w:pPr>
      <w:r>
        <w:rPr>
          <w:rFonts w:cs="Arial"/>
          <w:szCs w:val="24"/>
        </w:rPr>
        <w:t xml:space="preserve">Public Health is forecasting spend of £135k being 100% of the overall </w:t>
      </w:r>
      <w:r w:rsidR="00603BA2">
        <w:rPr>
          <w:rFonts w:cs="Arial"/>
          <w:szCs w:val="24"/>
        </w:rPr>
        <w:t>20</w:t>
      </w:r>
      <w:r>
        <w:rPr>
          <w:rFonts w:cs="Arial"/>
          <w:szCs w:val="24"/>
        </w:rPr>
        <w:t>19/20</w:t>
      </w:r>
      <w:r w:rsidR="007123C2">
        <w:rPr>
          <w:rFonts w:cs="Arial"/>
          <w:szCs w:val="24"/>
        </w:rPr>
        <w:t xml:space="preserve"> </w:t>
      </w:r>
      <w:r>
        <w:rPr>
          <w:rFonts w:cs="Arial"/>
          <w:szCs w:val="24"/>
        </w:rPr>
        <w:t>capital budget</w:t>
      </w:r>
      <w:r w:rsidR="00A236E6">
        <w:rPr>
          <w:rFonts w:cs="Arial"/>
          <w:szCs w:val="24"/>
        </w:rPr>
        <w:t xml:space="preserve"> for</w:t>
      </w:r>
      <w:r w:rsidR="00E27D27">
        <w:rPr>
          <w:rFonts w:cs="Arial"/>
          <w:szCs w:val="24"/>
        </w:rPr>
        <w:t xml:space="preserve"> </w:t>
      </w:r>
      <w:r w:rsidR="00E27D27" w:rsidRPr="00E27D27">
        <w:rPr>
          <w:rFonts w:cs="Arial"/>
          <w:szCs w:val="24"/>
        </w:rPr>
        <w:t>Healthy Pupil Capital Fund</w:t>
      </w:r>
      <w:r w:rsidR="007123C2">
        <w:rPr>
          <w:rFonts w:cs="Arial"/>
          <w:szCs w:val="24"/>
        </w:rPr>
        <w:t xml:space="preserve"> project</w:t>
      </w:r>
      <w:r>
        <w:rPr>
          <w:rFonts w:cs="Arial"/>
          <w:szCs w:val="24"/>
        </w:rPr>
        <w:t>.</w:t>
      </w:r>
      <w:r w:rsidR="00603BA2">
        <w:rPr>
          <w:rFonts w:cs="Arial"/>
          <w:szCs w:val="24"/>
        </w:rPr>
        <w:t xml:space="preserve"> </w:t>
      </w:r>
      <w:r w:rsidR="00A236E6">
        <w:rPr>
          <w:rFonts w:cs="Arial"/>
          <w:szCs w:val="24"/>
        </w:rPr>
        <w:t xml:space="preserve">The forecast assumes </w:t>
      </w:r>
      <w:proofErr w:type="spellStart"/>
      <w:r w:rsidR="006E1B96">
        <w:rPr>
          <w:rFonts w:cs="Arial"/>
          <w:szCs w:val="24"/>
        </w:rPr>
        <w:t>passporting</w:t>
      </w:r>
      <w:proofErr w:type="spellEnd"/>
      <w:r w:rsidR="006E1B96">
        <w:rPr>
          <w:rFonts w:cs="Arial"/>
          <w:szCs w:val="24"/>
        </w:rPr>
        <w:t xml:space="preserve"> funds</w:t>
      </w:r>
      <w:r w:rsidR="00A236E6">
        <w:rPr>
          <w:rFonts w:cs="Arial"/>
          <w:szCs w:val="24"/>
        </w:rPr>
        <w:t xml:space="preserve"> to schools on </w:t>
      </w:r>
      <w:r w:rsidR="00A236E6" w:rsidRPr="005A2C5E">
        <w:rPr>
          <w:rFonts w:cs="Arial"/>
          <w:szCs w:val="24"/>
        </w:rPr>
        <w:t>receipt of evidence of spend incurred</w:t>
      </w:r>
      <w:r w:rsidR="00A236E6">
        <w:rPr>
          <w:rFonts w:cs="Arial"/>
          <w:szCs w:val="24"/>
        </w:rPr>
        <w:t>.</w:t>
      </w:r>
    </w:p>
    <w:p w14:paraId="6E2460E0" w14:textId="77777777" w:rsidR="00F771E5" w:rsidRPr="007C0D59" w:rsidRDefault="00F771E5">
      <w:pPr>
        <w:pStyle w:val="ListParagraph"/>
        <w:tabs>
          <w:tab w:val="left" w:pos="567"/>
        </w:tabs>
        <w:ind w:left="567"/>
        <w:jc w:val="both"/>
        <w:rPr>
          <w:rFonts w:cs="Arial"/>
          <w:szCs w:val="24"/>
        </w:rPr>
      </w:pPr>
    </w:p>
    <w:p w14:paraId="77DEE2F9" w14:textId="3B01D1B5" w:rsidR="00555A6E" w:rsidRPr="00221D9F" w:rsidRDefault="00F771E5">
      <w:pPr>
        <w:pStyle w:val="ListParagraph"/>
        <w:ind w:hanging="153"/>
        <w:jc w:val="both"/>
        <w:rPr>
          <w:rFonts w:cs="Arial"/>
          <w:szCs w:val="24"/>
        </w:rPr>
      </w:pPr>
      <w:r w:rsidRPr="007C0D59">
        <w:rPr>
          <w:rFonts w:cs="Arial"/>
          <w:szCs w:val="24"/>
          <w:u w:val="single"/>
        </w:rPr>
        <w:t>Children’s Servic</w:t>
      </w:r>
      <w:r w:rsidR="00B27CB1" w:rsidRPr="00825AC5">
        <w:rPr>
          <w:rFonts w:cs="Arial"/>
          <w:szCs w:val="24"/>
          <w:u w:val="single"/>
        </w:rPr>
        <w:t>e</w:t>
      </w:r>
      <w:r w:rsidR="00C23F1B" w:rsidRPr="00825AC5">
        <w:rPr>
          <w:rFonts w:cs="Arial"/>
          <w:szCs w:val="24"/>
          <w:u w:val="single"/>
        </w:rPr>
        <w:t>s</w:t>
      </w:r>
    </w:p>
    <w:p w14:paraId="7676F847" w14:textId="526D9D9B" w:rsidR="00C23F1B" w:rsidRDefault="00C23F1B" w:rsidP="00825AC5">
      <w:pPr>
        <w:pStyle w:val="ListParagraph"/>
        <w:numPr>
          <w:ilvl w:val="0"/>
          <w:numId w:val="22"/>
        </w:numPr>
        <w:ind w:left="567" w:hanging="567"/>
        <w:jc w:val="both"/>
        <w:rPr>
          <w:rFonts w:cs="Arial"/>
        </w:rPr>
      </w:pPr>
      <w:r w:rsidRPr="00C23F1B">
        <w:rPr>
          <w:rFonts w:cs="Arial"/>
        </w:rPr>
        <w:t>The total budget for the capital programme in 2019</w:t>
      </w:r>
      <w:r w:rsidR="00B937A0">
        <w:rPr>
          <w:rFonts w:cs="Arial"/>
        </w:rPr>
        <w:t>/</w:t>
      </w:r>
      <w:r w:rsidRPr="00C23F1B">
        <w:rPr>
          <w:rFonts w:cs="Arial"/>
        </w:rPr>
        <w:t>20 is £28.534m. It is anticipated that approx</w:t>
      </w:r>
      <w:r w:rsidR="007123C2">
        <w:rPr>
          <w:rFonts w:cs="Arial"/>
        </w:rPr>
        <w:t xml:space="preserve">imately </w:t>
      </w:r>
      <w:r w:rsidRPr="00C23F1B">
        <w:rPr>
          <w:rFonts w:cs="Arial"/>
        </w:rPr>
        <w:t>£18.</w:t>
      </w:r>
      <w:r w:rsidR="007123C2">
        <w:rPr>
          <w:rFonts w:cs="Arial"/>
        </w:rPr>
        <w:t>120</w:t>
      </w:r>
      <w:r w:rsidRPr="00C23F1B">
        <w:rPr>
          <w:rFonts w:cs="Arial"/>
        </w:rPr>
        <w:t xml:space="preserve">m of this will be </w:t>
      </w:r>
      <w:r w:rsidR="00386282">
        <w:rPr>
          <w:rFonts w:cs="Arial"/>
        </w:rPr>
        <w:t xml:space="preserve">requested for </w:t>
      </w:r>
      <w:r w:rsidRPr="00C23F1B">
        <w:rPr>
          <w:rFonts w:cs="Arial"/>
        </w:rPr>
        <w:t>slipp</w:t>
      </w:r>
      <w:r w:rsidR="00386282">
        <w:rPr>
          <w:rFonts w:cs="Arial"/>
        </w:rPr>
        <w:t>age</w:t>
      </w:r>
      <w:r w:rsidRPr="00C23F1B">
        <w:rPr>
          <w:rFonts w:cs="Arial"/>
        </w:rPr>
        <w:t xml:space="preserve"> </w:t>
      </w:r>
      <w:r w:rsidR="00386282">
        <w:rPr>
          <w:rFonts w:cs="Arial"/>
        </w:rPr>
        <w:t>in</w:t>
      </w:r>
      <w:r w:rsidRPr="00C23F1B">
        <w:rPr>
          <w:rFonts w:cs="Arial"/>
        </w:rPr>
        <w:t>to future years.</w:t>
      </w:r>
    </w:p>
    <w:p w14:paraId="7174E953" w14:textId="77777777" w:rsidR="00241F3D" w:rsidRPr="00C23F1B" w:rsidRDefault="00241F3D" w:rsidP="00825AC5">
      <w:pPr>
        <w:pStyle w:val="ListParagraph"/>
        <w:ind w:left="567"/>
        <w:jc w:val="both"/>
        <w:rPr>
          <w:rFonts w:cs="Arial"/>
        </w:rPr>
      </w:pPr>
    </w:p>
    <w:p w14:paraId="5387CDE3" w14:textId="5244374C" w:rsidR="00C23F1B" w:rsidRPr="00C23F1B" w:rsidRDefault="00241F3D" w:rsidP="00825AC5">
      <w:pPr>
        <w:pStyle w:val="ListParagraph"/>
        <w:numPr>
          <w:ilvl w:val="0"/>
          <w:numId w:val="22"/>
        </w:numPr>
        <w:ind w:left="567" w:hanging="567"/>
        <w:jc w:val="both"/>
        <w:rPr>
          <w:rFonts w:cs="Arial"/>
        </w:rPr>
      </w:pPr>
      <w:r w:rsidRPr="00825AC5">
        <w:rPr>
          <w:rFonts w:cs="Arial"/>
        </w:rPr>
        <w:t>School Expansion Programme (SEP) 2</w:t>
      </w:r>
      <w:r w:rsidR="007123C2">
        <w:rPr>
          <w:rFonts w:cs="Arial"/>
        </w:rPr>
        <w:t xml:space="preserve">: </w:t>
      </w:r>
      <w:r>
        <w:rPr>
          <w:rFonts w:cs="Arial"/>
          <w:b/>
        </w:rPr>
        <w:t xml:space="preserve"> </w:t>
      </w:r>
      <w:proofErr w:type="spellStart"/>
      <w:r w:rsidR="00C23F1B" w:rsidRPr="00C23F1B">
        <w:rPr>
          <w:rFonts w:cs="Arial"/>
        </w:rPr>
        <w:t>Engie</w:t>
      </w:r>
      <w:proofErr w:type="spellEnd"/>
      <w:r w:rsidR="00C23F1B" w:rsidRPr="00C23F1B">
        <w:rPr>
          <w:rFonts w:cs="Arial"/>
        </w:rPr>
        <w:t xml:space="preserve"> (formerly Keepmoat) was commissioned to deliver the majority of the Phase 1 (SEP1) and Phase 2 (SEP2) construction projects.  The projects have reached project completion and the schools are occupying their new accommodation. There are a number of building defects and on-going contractual issues and the council has appointed legal and commercial advisers to secure a resolution. For the purposes of budget monitoring these programmes are forecast to budget but there is a risk to the capital programme that the final outturn is higher than the budget.</w:t>
      </w:r>
    </w:p>
    <w:p w14:paraId="1BF251FD" w14:textId="77777777" w:rsidR="00C23F1B" w:rsidRPr="00C23F1B" w:rsidRDefault="00C23F1B" w:rsidP="00825AC5">
      <w:pPr>
        <w:pStyle w:val="ListParagraph"/>
        <w:ind w:left="1211"/>
        <w:jc w:val="both"/>
        <w:rPr>
          <w:rFonts w:cs="Arial"/>
        </w:rPr>
      </w:pPr>
    </w:p>
    <w:p w14:paraId="3A400631" w14:textId="77777777" w:rsidR="00C23F1B" w:rsidRPr="00A00997" w:rsidRDefault="00C23F1B" w:rsidP="00825AC5">
      <w:pPr>
        <w:ind w:firstLine="567"/>
        <w:jc w:val="both"/>
        <w:rPr>
          <w:rFonts w:cs="Arial"/>
        </w:rPr>
      </w:pPr>
      <w:r w:rsidRPr="00825AC5">
        <w:rPr>
          <w:rFonts w:cs="Arial"/>
          <w:b/>
        </w:rPr>
        <w:t>Slippage</w:t>
      </w:r>
    </w:p>
    <w:p w14:paraId="453A50E1" w14:textId="1E0A3F58" w:rsidR="00C23F1B" w:rsidRPr="00C23F1B" w:rsidRDefault="00C23F1B" w:rsidP="00825AC5">
      <w:pPr>
        <w:pStyle w:val="ListParagraph"/>
        <w:numPr>
          <w:ilvl w:val="0"/>
          <w:numId w:val="22"/>
        </w:numPr>
        <w:ind w:left="567" w:hanging="567"/>
        <w:jc w:val="both"/>
        <w:rPr>
          <w:rFonts w:cs="Arial"/>
        </w:rPr>
      </w:pPr>
      <w:r w:rsidRPr="00C23F1B">
        <w:rPr>
          <w:rFonts w:cs="Arial"/>
        </w:rPr>
        <w:t>The total slippage is £18.12</w:t>
      </w:r>
      <w:r w:rsidR="007123C2">
        <w:rPr>
          <w:rFonts w:cs="Arial"/>
        </w:rPr>
        <w:t>0</w:t>
      </w:r>
      <w:r w:rsidRPr="00C23F1B">
        <w:rPr>
          <w:rFonts w:cs="Arial"/>
        </w:rPr>
        <w:t xml:space="preserve">m. Of this, £12.378m relates to funding set aside for secondary expansions. As reported to Cabinet in July 2019 the projections for Year 7 places indicate that there will be a shortfall of up to 5 forms of entry in 2022-23. This reduces to 1 form of entry in 2025-26. However, at this time there are a higher number of Year 7 places than required which is resulting in vacancies being concentrated in a small number of schools. It is proposed to slip the funding to future years and ensure that the situation is monitored and that once there is greater clarity about changes on the borough boundaries </w:t>
      </w:r>
      <w:r w:rsidRPr="00C23F1B">
        <w:rPr>
          <w:rFonts w:cs="Arial"/>
        </w:rPr>
        <w:lastRenderedPageBreak/>
        <w:t>that a local solution to meet the growing need is developed with the High Schools.</w:t>
      </w:r>
    </w:p>
    <w:p w14:paraId="693DA1BA" w14:textId="77777777" w:rsidR="00C23F1B" w:rsidRPr="00C23F1B" w:rsidRDefault="00C23F1B" w:rsidP="00825AC5">
      <w:pPr>
        <w:pStyle w:val="ListParagraph"/>
        <w:ind w:left="1211"/>
        <w:jc w:val="both"/>
        <w:rPr>
          <w:rFonts w:cs="Arial"/>
        </w:rPr>
      </w:pPr>
    </w:p>
    <w:p w14:paraId="7C723C2D" w14:textId="77777777" w:rsidR="00C23F1B" w:rsidRPr="00C23F1B" w:rsidRDefault="00C23F1B" w:rsidP="00825AC5">
      <w:pPr>
        <w:pStyle w:val="ListParagraph"/>
        <w:numPr>
          <w:ilvl w:val="0"/>
          <w:numId w:val="22"/>
        </w:numPr>
        <w:ind w:left="567" w:hanging="567"/>
        <w:jc w:val="both"/>
        <w:rPr>
          <w:rFonts w:cs="Arial"/>
        </w:rPr>
      </w:pPr>
      <w:r w:rsidRPr="00C23F1B">
        <w:rPr>
          <w:rFonts w:cs="Arial"/>
        </w:rPr>
        <w:t>Bulge class funding is for schools opening temporary additional classes in year and is not required for this academic year.</w:t>
      </w:r>
    </w:p>
    <w:p w14:paraId="457B81DC" w14:textId="77777777" w:rsidR="00C23F1B" w:rsidRPr="00C23F1B" w:rsidRDefault="00C23F1B" w:rsidP="00825AC5">
      <w:pPr>
        <w:pStyle w:val="ListParagraph"/>
        <w:ind w:left="1211"/>
        <w:jc w:val="both"/>
        <w:rPr>
          <w:rFonts w:cs="Arial"/>
        </w:rPr>
      </w:pPr>
    </w:p>
    <w:p w14:paraId="2E31A3F9" w14:textId="77777777" w:rsidR="00C23F1B" w:rsidRDefault="00C23F1B" w:rsidP="00825AC5">
      <w:pPr>
        <w:pStyle w:val="ListParagraph"/>
        <w:numPr>
          <w:ilvl w:val="0"/>
          <w:numId w:val="22"/>
        </w:numPr>
        <w:ind w:left="567" w:hanging="567"/>
        <w:jc w:val="both"/>
        <w:rPr>
          <w:rFonts w:cs="Arial"/>
        </w:rPr>
      </w:pPr>
      <w:r w:rsidRPr="00C23F1B">
        <w:rPr>
          <w:rFonts w:cs="Arial"/>
        </w:rPr>
        <w:t xml:space="preserve">Special Educational Needs provision slippage totals £5.189m. Funding has been included in the capital programme to support additional in-borough SEN provision which is driven by the SEND Strategy. As part of the implantation of the strategy, a whole system review of in-borough provision will be undertaken in conjunction with the changing and growing needs of the population to inform additional in-borough solutions. It is estimated that £1.495m will be spent in 2019-20 and the remainder of this funding will be programmed over future years in line with the SEND Strategy. </w:t>
      </w:r>
    </w:p>
    <w:p w14:paraId="4DEDD2CE" w14:textId="77777777" w:rsidR="00241F3D" w:rsidRPr="00C23F1B" w:rsidRDefault="00241F3D" w:rsidP="00825AC5">
      <w:pPr>
        <w:pStyle w:val="ListParagraph"/>
        <w:ind w:left="567"/>
        <w:jc w:val="both"/>
        <w:rPr>
          <w:rFonts w:cs="Arial"/>
        </w:rPr>
      </w:pPr>
    </w:p>
    <w:p w14:paraId="416C5323" w14:textId="0A2CD98E" w:rsidR="00C23F1B" w:rsidRPr="00C23F1B" w:rsidRDefault="00C23F1B" w:rsidP="00825AC5">
      <w:pPr>
        <w:pStyle w:val="ListParagraph"/>
        <w:numPr>
          <w:ilvl w:val="0"/>
          <w:numId w:val="22"/>
        </w:numPr>
        <w:ind w:left="567" w:hanging="567"/>
        <w:jc w:val="both"/>
        <w:rPr>
          <w:rFonts w:cs="Arial"/>
        </w:rPr>
      </w:pPr>
      <w:r w:rsidRPr="00C23F1B">
        <w:rPr>
          <w:rFonts w:cs="Arial"/>
        </w:rPr>
        <w:t>There are no revenue</w:t>
      </w:r>
      <w:r w:rsidR="00A279BE">
        <w:rPr>
          <w:rFonts w:cs="Arial"/>
        </w:rPr>
        <w:t xml:space="preserve"> budget</w:t>
      </w:r>
      <w:r w:rsidRPr="00C23F1B">
        <w:rPr>
          <w:rFonts w:cs="Arial"/>
        </w:rPr>
        <w:t xml:space="preserve"> implications associated with th</w:t>
      </w:r>
      <w:r w:rsidR="00A279BE">
        <w:rPr>
          <w:rFonts w:cs="Arial"/>
        </w:rPr>
        <w:t>ese</w:t>
      </w:r>
      <w:r w:rsidRPr="00C23F1B">
        <w:rPr>
          <w:rFonts w:cs="Arial"/>
        </w:rPr>
        <w:t xml:space="preserve"> slippage</w:t>
      </w:r>
      <w:r w:rsidR="00A279BE">
        <w:rPr>
          <w:rFonts w:cs="Arial"/>
        </w:rPr>
        <w:t>s</w:t>
      </w:r>
      <w:r w:rsidRPr="00C23F1B">
        <w:rPr>
          <w:rFonts w:cs="Arial"/>
        </w:rPr>
        <w:t xml:space="preserve">. </w:t>
      </w:r>
    </w:p>
    <w:p w14:paraId="4A1C7731" w14:textId="77777777" w:rsidR="00BF728D" w:rsidRDefault="00BF728D">
      <w:pPr>
        <w:ind w:firstLine="567"/>
        <w:jc w:val="both"/>
        <w:rPr>
          <w:rFonts w:cs="Arial"/>
          <w:szCs w:val="24"/>
        </w:rPr>
      </w:pPr>
    </w:p>
    <w:p w14:paraId="1A0D07E9" w14:textId="77777777" w:rsidR="00B937A0" w:rsidRDefault="00B937A0">
      <w:pPr>
        <w:ind w:firstLine="567"/>
        <w:jc w:val="both"/>
        <w:rPr>
          <w:rFonts w:cs="Arial"/>
          <w:szCs w:val="24"/>
        </w:rPr>
      </w:pPr>
    </w:p>
    <w:p w14:paraId="1079BA18" w14:textId="77777777" w:rsidR="00B329CE" w:rsidRPr="007C0D59" w:rsidRDefault="00B329CE">
      <w:pPr>
        <w:ind w:firstLine="567"/>
        <w:jc w:val="both"/>
        <w:rPr>
          <w:rFonts w:cs="Arial"/>
          <w:szCs w:val="24"/>
          <w:u w:val="single"/>
        </w:rPr>
      </w:pPr>
      <w:r w:rsidRPr="007C0D59">
        <w:rPr>
          <w:rFonts w:cs="Arial"/>
          <w:b/>
          <w:szCs w:val="24"/>
          <w:u w:val="single"/>
        </w:rPr>
        <w:t>Housing Revenue Account</w:t>
      </w:r>
    </w:p>
    <w:p w14:paraId="73A1826D" w14:textId="502FF342" w:rsidR="00E85725" w:rsidRDefault="00F505C5">
      <w:pPr>
        <w:pStyle w:val="ListParagraph"/>
        <w:numPr>
          <w:ilvl w:val="0"/>
          <w:numId w:val="22"/>
        </w:numPr>
        <w:tabs>
          <w:tab w:val="left" w:pos="567"/>
        </w:tabs>
        <w:ind w:left="567" w:hanging="567"/>
        <w:jc w:val="both"/>
        <w:rPr>
          <w:rFonts w:cs="Arial"/>
          <w:szCs w:val="24"/>
        </w:rPr>
      </w:pPr>
      <w:r w:rsidRPr="007C0D59">
        <w:rPr>
          <w:rFonts w:cs="Arial"/>
          <w:bCs/>
          <w:szCs w:val="24"/>
        </w:rPr>
        <w:t xml:space="preserve"> </w:t>
      </w:r>
      <w:r w:rsidR="00E1049C" w:rsidRPr="007C0D59">
        <w:rPr>
          <w:rFonts w:cs="Arial"/>
          <w:szCs w:val="24"/>
        </w:rPr>
        <w:t xml:space="preserve">At Quarter </w:t>
      </w:r>
      <w:r w:rsidR="0089083B">
        <w:rPr>
          <w:rFonts w:cs="Arial"/>
          <w:szCs w:val="24"/>
        </w:rPr>
        <w:t>2</w:t>
      </w:r>
      <w:r w:rsidR="00E1049C" w:rsidRPr="007C0D59">
        <w:rPr>
          <w:rFonts w:cs="Arial"/>
          <w:szCs w:val="24"/>
        </w:rPr>
        <w:t xml:space="preserve">, </w:t>
      </w:r>
      <w:r w:rsidR="00072CAD">
        <w:rPr>
          <w:rFonts w:cs="Arial"/>
          <w:szCs w:val="24"/>
        </w:rPr>
        <w:t xml:space="preserve">the </w:t>
      </w:r>
      <w:r w:rsidR="00E1049C" w:rsidRPr="007C0D59">
        <w:rPr>
          <w:rFonts w:cs="Arial"/>
          <w:szCs w:val="24"/>
        </w:rPr>
        <w:t>outturn forecast for</w:t>
      </w:r>
      <w:r w:rsidR="00072CAD">
        <w:rPr>
          <w:rFonts w:cs="Arial"/>
          <w:szCs w:val="24"/>
        </w:rPr>
        <w:t xml:space="preserve"> the</w:t>
      </w:r>
      <w:r w:rsidR="00D71F7F">
        <w:rPr>
          <w:rFonts w:cs="Arial"/>
          <w:szCs w:val="24"/>
        </w:rPr>
        <w:t xml:space="preserve"> </w:t>
      </w:r>
      <w:r w:rsidR="00E1049C" w:rsidRPr="007C0D59">
        <w:rPr>
          <w:rFonts w:cs="Arial"/>
          <w:szCs w:val="24"/>
        </w:rPr>
        <w:t xml:space="preserve">Housing Revenue Account is </w:t>
      </w:r>
      <w:r w:rsidR="0089083B">
        <w:rPr>
          <w:rFonts w:cs="Arial"/>
          <w:szCs w:val="24"/>
        </w:rPr>
        <w:t>£21.</w:t>
      </w:r>
      <w:r w:rsidR="000D7E6E">
        <w:rPr>
          <w:rFonts w:cs="Arial"/>
          <w:szCs w:val="24"/>
        </w:rPr>
        <w:t>47</w:t>
      </w:r>
      <w:r w:rsidR="00DE07EE">
        <w:rPr>
          <w:rFonts w:cs="Arial"/>
          <w:szCs w:val="24"/>
        </w:rPr>
        <w:t>1</w:t>
      </w:r>
      <w:r w:rsidR="000D7E6E">
        <w:rPr>
          <w:rFonts w:cs="Arial"/>
          <w:szCs w:val="24"/>
        </w:rPr>
        <w:t xml:space="preserve">m </w:t>
      </w:r>
      <w:r w:rsidR="000D7E6E" w:rsidRPr="007C0D59">
        <w:rPr>
          <w:rFonts w:cs="Arial"/>
          <w:szCs w:val="24"/>
        </w:rPr>
        <w:t xml:space="preserve"> </w:t>
      </w:r>
      <w:r w:rsidR="00E1049C" w:rsidRPr="007C0D59">
        <w:rPr>
          <w:rFonts w:cs="Arial"/>
          <w:szCs w:val="24"/>
        </w:rPr>
        <w:t xml:space="preserve">which is </w:t>
      </w:r>
      <w:r w:rsidR="0089083B">
        <w:rPr>
          <w:rFonts w:cs="Arial"/>
          <w:szCs w:val="24"/>
        </w:rPr>
        <w:t>67%</w:t>
      </w:r>
      <w:r w:rsidR="00E85725">
        <w:rPr>
          <w:rFonts w:cs="Arial"/>
          <w:szCs w:val="24"/>
        </w:rPr>
        <w:t xml:space="preserve"> </w:t>
      </w:r>
      <w:r w:rsidR="00E1049C" w:rsidRPr="007C0D59">
        <w:rPr>
          <w:rFonts w:cs="Arial"/>
          <w:szCs w:val="24"/>
        </w:rPr>
        <w:t xml:space="preserve">of the approved </w:t>
      </w:r>
      <w:r w:rsidR="0089083B">
        <w:rPr>
          <w:rFonts w:cs="Arial"/>
          <w:szCs w:val="24"/>
        </w:rPr>
        <w:t>£32.229m</w:t>
      </w:r>
      <w:r w:rsidR="00E1049C" w:rsidRPr="007C0D59">
        <w:rPr>
          <w:rFonts w:cs="Arial"/>
          <w:szCs w:val="24"/>
        </w:rPr>
        <w:t xml:space="preserve"> capital budget in 2019/20. </w:t>
      </w:r>
    </w:p>
    <w:p w14:paraId="720347F1" w14:textId="77777777" w:rsidR="004B39DE" w:rsidRDefault="004B39DE">
      <w:pPr>
        <w:tabs>
          <w:tab w:val="left" w:pos="567"/>
        </w:tabs>
        <w:jc w:val="both"/>
        <w:rPr>
          <w:rFonts w:cs="Arial"/>
          <w:szCs w:val="24"/>
        </w:rPr>
      </w:pPr>
    </w:p>
    <w:p w14:paraId="78AE656A" w14:textId="77777777" w:rsidR="003362A6" w:rsidRPr="003634DA" w:rsidRDefault="00DA3966">
      <w:pPr>
        <w:pStyle w:val="ListParagraph"/>
        <w:tabs>
          <w:tab w:val="left" w:pos="567"/>
        </w:tabs>
        <w:ind w:left="567"/>
        <w:jc w:val="both"/>
        <w:rPr>
          <w:rFonts w:cs="Arial"/>
          <w:b/>
          <w:szCs w:val="24"/>
          <w:u w:val="single"/>
        </w:rPr>
      </w:pPr>
      <w:r w:rsidRPr="003634DA">
        <w:rPr>
          <w:rFonts w:cs="Arial"/>
          <w:b/>
          <w:szCs w:val="24"/>
        </w:rPr>
        <w:t xml:space="preserve"> </w:t>
      </w:r>
      <w:r w:rsidR="00B75D7A" w:rsidRPr="003634DA">
        <w:rPr>
          <w:rFonts w:cs="Arial"/>
          <w:b/>
          <w:szCs w:val="24"/>
          <w:u w:val="single"/>
        </w:rPr>
        <w:t xml:space="preserve">Table 12: Summary of HRA Capital Budget Forecast at Quarter </w:t>
      </w:r>
      <w:r w:rsidR="00874B59">
        <w:rPr>
          <w:rFonts w:cs="Arial"/>
          <w:b/>
          <w:szCs w:val="24"/>
          <w:u w:val="single"/>
        </w:rPr>
        <w:t>2</w:t>
      </w:r>
      <w:r w:rsidR="003362A6">
        <w:rPr>
          <w:rFonts w:cs="Arial"/>
          <w:b/>
          <w:szCs w:val="24"/>
          <w:u w:val="single"/>
        </w:rPr>
        <w:t xml:space="preserve"> </w:t>
      </w:r>
    </w:p>
    <w:tbl>
      <w:tblPr>
        <w:tblW w:w="7260" w:type="dxa"/>
        <w:tblInd w:w="755" w:type="dxa"/>
        <w:tblLook w:val="04A0" w:firstRow="1" w:lastRow="0" w:firstColumn="1" w:lastColumn="0" w:noHBand="0" w:noVBand="1"/>
      </w:tblPr>
      <w:tblGrid>
        <w:gridCol w:w="1537"/>
        <w:gridCol w:w="1045"/>
        <w:gridCol w:w="1225"/>
        <w:gridCol w:w="1251"/>
        <w:gridCol w:w="1217"/>
        <w:gridCol w:w="985"/>
      </w:tblGrid>
      <w:tr w:rsidR="003362A6" w:rsidRPr="003362A6" w14:paraId="74180BE7" w14:textId="77777777" w:rsidTr="009C6E7F">
        <w:trPr>
          <w:trHeight w:val="948"/>
        </w:trPr>
        <w:tc>
          <w:tcPr>
            <w:tcW w:w="153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5758F4A"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 xml:space="preserve">Description </w:t>
            </w:r>
          </w:p>
        </w:tc>
        <w:tc>
          <w:tcPr>
            <w:tcW w:w="1045" w:type="dxa"/>
            <w:tcBorders>
              <w:top w:val="single" w:sz="8" w:space="0" w:color="auto"/>
              <w:left w:val="nil"/>
              <w:bottom w:val="single" w:sz="8" w:space="0" w:color="auto"/>
              <w:right w:val="single" w:sz="8" w:space="0" w:color="auto"/>
            </w:tcBorders>
            <w:shd w:val="clear" w:color="auto" w:fill="auto"/>
            <w:vAlign w:val="bottom"/>
            <w:hideMark/>
          </w:tcPr>
          <w:p w14:paraId="1A06E66C"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Budget</w:t>
            </w:r>
          </w:p>
        </w:tc>
        <w:tc>
          <w:tcPr>
            <w:tcW w:w="1225" w:type="dxa"/>
            <w:tcBorders>
              <w:top w:val="single" w:sz="8" w:space="0" w:color="auto"/>
              <w:left w:val="nil"/>
              <w:bottom w:val="single" w:sz="8" w:space="0" w:color="auto"/>
              <w:right w:val="single" w:sz="8" w:space="0" w:color="auto"/>
            </w:tcBorders>
            <w:shd w:val="clear" w:color="auto" w:fill="auto"/>
            <w:vAlign w:val="bottom"/>
            <w:hideMark/>
          </w:tcPr>
          <w:p w14:paraId="15C27D3A"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Forecast</w:t>
            </w:r>
          </w:p>
        </w:tc>
        <w:tc>
          <w:tcPr>
            <w:tcW w:w="1251" w:type="dxa"/>
            <w:tcBorders>
              <w:top w:val="single" w:sz="8" w:space="0" w:color="auto"/>
              <w:left w:val="nil"/>
              <w:bottom w:val="single" w:sz="8" w:space="0" w:color="auto"/>
              <w:right w:val="single" w:sz="8" w:space="0" w:color="auto"/>
            </w:tcBorders>
            <w:shd w:val="clear" w:color="auto" w:fill="auto"/>
            <w:vAlign w:val="bottom"/>
            <w:hideMark/>
          </w:tcPr>
          <w:p w14:paraId="614AD231"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Variation</w:t>
            </w:r>
          </w:p>
        </w:tc>
        <w:tc>
          <w:tcPr>
            <w:tcW w:w="1217" w:type="dxa"/>
            <w:tcBorders>
              <w:top w:val="single" w:sz="8" w:space="0" w:color="auto"/>
              <w:left w:val="nil"/>
              <w:bottom w:val="single" w:sz="8" w:space="0" w:color="auto"/>
              <w:right w:val="single" w:sz="8" w:space="0" w:color="auto"/>
            </w:tcBorders>
            <w:shd w:val="clear" w:color="auto" w:fill="auto"/>
            <w:vAlign w:val="bottom"/>
            <w:hideMark/>
          </w:tcPr>
          <w:p w14:paraId="0E6E7D84"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Slippage</w:t>
            </w:r>
          </w:p>
        </w:tc>
        <w:tc>
          <w:tcPr>
            <w:tcW w:w="985" w:type="dxa"/>
            <w:tcBorders>
              <w:top w:val="single" w:sz="8" w:space="0" w:color="auto"/>
              <w:left w:val="nil"/>
              <w:bottom w:val="single" w:sz="8" w:space="0" w:color="auto"/>
              <w:right w:val="single" w:sz="8" w:space="0" w:color="auto"/>
            </w:tcBorders>
            <w:shd w:val="clear" w:color="auto" w:fill="auto"/>
            <w:vAlign w:val="bottom"/>
            <w:hideMark/>
          </w:tcPr>
          <w:p w14:paraId="3FD1F104"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Under/ Over spend</w:t>
            </w:r>
          </w:p>
        </w:tc>
      </w:tr>
      <w:tr w:rsidR="003362A6" w:rsidRPr="003362A6" w14:paraId="2B634E8C" w14:textId="77777777" w:rsidTr="009C6E7F">
        <w:trPr>
          <w:trHeight w:val="324"/>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598D9ADF"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 </w:t>
            </w:r>
          </w:p>
        </w:tc>
        <w:tc>
          <w:tcPr>
            <w:tcW w:w="1045" w:type="dxa"/>
            <w:tcBorders>
              <w:top w:val="nil"/>
              <w:left w:val="nil"/>
              <w:bottom w:val="single" w:sz="8" w:space="0" w:color="auto"/>
              <w:right w:val="single" w:sz="8" w:space="0" w:color="auto"/>
            </w:tcBorders>
            <w:shd w:val="clear" w:color="auto" w:fill="auto"/>
            <w:vAlign w:val="center"/>
            <w:hideMark/>
          </w:tcPr>
          <w:p w14:paraId="287B43E4"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£’000</w:t>
            </w:r>
          </w:p>
        </w:tc>
        <w:tc>
          <w:tcPr>
            <w:tcW w:w="1225" w:type="dxa"/>
            <w:tcBorders>
              <w:top w:val="nil"/>
              <w:left w:val="nil"/>
              <w:bottom w:val="single" w:sz="8" w:space="0" w:color="auto"/>
              <w:right w:val="single" w:sz="8" w:space="0" w:color="auto"/>
            </w:tcBorders>
            <w:shd w:val="clear" w:color="auto" w:fill="auto"/>
            <w:vAlign w:val="center"/>
            <w:hideMark/>
          </w:tcPr>
          <w:p w14:paraId="1BE8445E"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£’000</w:t>
            </w:r>
          </w:p>
        </w:tc>
        <w:tc>
          <w:tcPr>
            <w:tcW w:w="1251" w:type="dxa"/>
            <w:tcBorders>
              <w:top w:val="nil"/>
              <w:left w:val="nil"/>
              <w:bottom w:val="single" w:sz="8" w:space="0" w:color="auto"/>
              <w:right w:val="single" w:sz="8" w:space="0" w:color="auto"/>
            </w:tcBorders>
            <w:shd w:val="clear" w:color="auto" w:fill="auto"/>
            <w:vAlign w:val="center"/>
            <w:hideMark/>
          </w:tcPr>
          <w:p w14:paraId="38938904"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£’000</w:t>
            </w:r>
          </w:p>
        </w:tc>
        <w:tc>
          <w:tcPr>
            <w:tcW w:w="1217" w:type="dxa"/>
            <w:tcBorders>
              <w:top w:val="nil"/>
              <w:left w:val="nil"/>
              <w:bottom w:val="single" w:sz="8" w:space="0" w:color="auto"/>
              <w:right w:val="single" w:sz="8" w:space="0" w:color="auto"/>
            </w:tcBorders>
            <w:shd w:val="clear" w:color="auto" w:fill="auto"/>
            <w:vAlign w:val="center"/>
            <w:hideMark/>
          </w:tcPr>
          <w:p w14:paraId="0EFC2125"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£’000</w:t>
            </w:r>
          </w:p>
        </w:tc>
        <w:tc>
          <w:tcPr>
            <w:tcW w:w="985" w:type="dxa"/>
            <w:tcBorders>
              <w:top w:val="nil"/>
              <w:left w:val="nil"/>
              <w:bottom w:val="single" w:sz="8" w:space="0" w:color="auto"/>
              <w:right w:val="single" w:sz="8" w:space="0" w:color="auto"/>
            </w:tcBorders>
            <w:shd w:val="clear" w:color="auto" w:fill="auto"/>
            <w:vAlign w:val="center"/>
            <w:hideMark/>
          </w:tcPr>
          <w:p w14:paraId="79902EE0"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£’000</w:t>
            </w:r>
          </w:p>
        </w:tc>
      </w:tr>
      <w:tr w:rsidR="003362A6" w:rsidRPr="003362A6" w14:paraId="4EDDA153" w14:textId="77777777" w:rsidTr="009C6E7F">
        <w:trPr>
          <w:trHeight w:val="612"/>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1BC91E6A"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Planned Investment</w:t>
            </w:r>
          </w:p>
        </w:tc>
        <w:tc>
          <w:tcPr>
            <w:tcW w:w="1045" w:type="dxa"/>
            <w:tcBorders>
              <w:top w:val="nil"/>
              <w:left w:val="nil"/>
              <w:bottom w:val="single" w:sz="8" w:space="0" w:color="auto"/>
              <w:right w:val="single" w:sz="8" w:space="0" w:color="auto"/>
            </w:tcBorders>
            <w:shd w:val="clear" w:color="auto" w:fill="auto"/>
            <w:vAlign w:val="center"/>
            <w:hideMark/>
          </w:tcPr>
          <w:p w14:paraId="0DA07BE9"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9,784</w:t>
            </w:r>
          </w:p>
        </w:tc>
        <w:tc>
          <w:tcPr>
            <w:tcW w:w="1225" w:type="dxa"/>
            <w:tcBorders>
              <w:top w:val="nil"/>
              <w:left w:val="nil"/>
              <w:bottom w:val="single" w:sz="8" w:space="0" w:color="auto"/>
              <w:right w:val="single" w:sz="8" w:space="0" w:color="auto"/>
            </w:tcBorders>
            <w:shd w:val="clear" w:color="auto" w:fill="auto"/>
            <w:vAlign w:val="center"/>
            <w:hideMark/>
          </w:tcPr>
          <w:p w14:paraId="60BE6459"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6,163</w:t>
            </w:r>
          </w:p>
        </w:tc>
        <w:tc>
          <w:tcPr>
            <w:tcW w:w="1251" w:type="dxa"/>
            <w:tcBorders>
              <w:top w:val="nil"/>
              <w:left w:val="nil"/>
              <w:bottom w:val="single" w:sz="8" w:space="0" w:color="auto"/>
              <w:right w:val="single" w:sz="8" w:space="0" w:color="auto"/>
            </w:tcBorders>
            <w:shd w:val="clear" w:color="auto" w:fill="auto"/>
            <w:vAlign w:val="center"/>
            <w:hideMark/>
          </w:tcPr>
          <w:p w14:paraId="031C87D9" w14:textId="53D81376" w:rsidR="003362A6" w:rsidRPr="003362A6" w:rsidRDefault="00366452" w:rsidP="003362A6">
            <w:pPr>
              <w:jc w:val="both"/>
              <w:rPr>
                <w:rFonts w:cs="Arial"/>
                <w:color w:val="000000"/>
                <w:szCs w:val="24"/>
                <w:lang w:eastAsia="en-GB"/>
              </w:rPr>
            </w:pPr>
            <w:r>
              <w:rPr>
                <w:rFonts w:cs="Arial"/>
                <w:color w:val="000000"/>
                <w:szCs w:val="24"/>
                <w:lang w:eastAsia="en-GB"/>
              </w:rPr>
              <w:t>(</w:t>
            </w:r>
            <w:r w:rsidR="003362A6" w:rsidRPr="003362A6">
              <w:rPr>
                <w:rFonts w:cs="Arial"/>
                <w:color w:val="000000"/>
                <w:szCs w:val="24"/>
                <w:lang w:eastAsia="en-GB"/>
              </w:rPr>
              <w:t>3,621</w:t>
            </w:r>
            <w:r>
              <w:rPr>
                <w:rFonts w:cs="Arial"/>
                <w:color w:val="000000"/>
                <w:szCs w:val="24"/>
                <w:lang w:eastAsia="en-GB"/>
              </w:rPr>
              <w:t>)</w:t>
            </w:r>
          </w:p>
        </w:tc>
        <w:tc>
          <w:tcPr>
            <w:tcW w:w="1217" w:type="dxa"/>
            <w:tcBorders>
              <w:top w:val="nil"/>
              <w:left w:val="nil"/>
              <w:bottom w:val="single" w:sz="8" w:space="0" w:color="auto"/>
              <w:right w:val="single" w:sz="8" w:space="0" w:color="auto"/>
            </w:tcBorders>
            <w:shd w:val="clear" w:color="auto" w:fill="auto"/>
            <w:vAlign w:val="center"/>
            <w:hideMark/>
          </w:tcPr>
          <w:p w14:paraId="78943751"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3,621</w:t>
            </w:r>
          </w:p>
        </w:tc>
        <w:tc>
          <w:tcPr>
            <w:tcW w:w="985" w:type="dxa"/>
            <w:tcBorders>
              <w:top w:val="nil"/>
              <w:left w:val="nil"/>
              <w:bottom w:val="single" w:sz="8" w:space="0" w:color="auto"/>
              <w:right w:val="single" w:sz="8" w:space="0" w:color="auto"/>
            </w:tcBorders>
            <w:shd w:val="clear" w:color="auto" w:fill="auto"/>
            <w:vAlign w:val="center"/>
            <w:hideMark/>
          </w:tcPr>
          <w:p w14:paraId="691B1410"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0</w:t>
            </w:r>
          </w:p>
        </w:tc>
      </w:tr>
      <w:tr w:rsidR="003362A6" w:rsidRPr="003362A6" w14:paraId="5C7C00BA" w14:textId="77777777" w:rsidTr="009C6E7F">
        <w:trPr>
          <w:trHeight w:val="912"/>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2782BC21"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Infill programme phase 1</w:t>
            </w:r>
          </w:p>
        </w:tc>
        <w:tc>
          <w:tcPr>
            <w:tcW w:w="1045" w:type="dxa"/>
            <w:tcBorders>
              <w:top w:val="nil"/>
              <w:left w:val="nil"/>
              <w:bottom w:val="single" w:sz="8" w:space="0" w:color="auto"/>
              <w:right w:val="single" w:sz="8" w:space="0" w:color="auto"/>
            </w:tcBorders>
            <w:shd w:val="clear" w:color="auto" w:fill="auto"/>
            <w:vAlign w:val="center"/>
            <w:hideMark/>
          </w:tcPr>
          <w:p w14:paraId="5D7802B2"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1,775</w:t>
            </w:r>
          </w:p>
        </w:tc>
        <w:tc>
          <w:tcPr>
            <w:tcW w:w="1225" w:type="dxa"/>
            <w:tcBorders>
              <w:top w:val="nil"/>
              <w:left w:val="nil"/>
              <w:bottom w:val="single" w:sz="8" w:space="0" w:color="auto"/>
              <w:right w:val="single" w:sz="8" w:space="0" w:color="auto"/>
            </w:tcBorders>
            <w:shd w:val="clear" w:color="auto" w:fill="auto"/>
            <w:vAlign w:val="center"/>
            <w:hideMark/>
          </w:tcPr>
          <w:p w14:paraId="600C5628"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1,603</w:t>
            </w:r>
          </w:p>
        </w:tc>
        <w:tc>
          <w:tcPr>
            <w:tcW w:w="1251" w:type="dxa"/>
            <w:tcBorders>
              <w:top w:val="nil"/>
              <w:left w:val="nil"/>
              <w:bottom w:val="single" w:sz="8" w:space="0" w:color="auto"/>
              <w:right w:val="single" w:sz="8" w:space="0" w:color="auto"/>
            </w:tcBorders>
            <w:shd w:val="clear" w:color="auto" w:fill="auto"/>
            <w:vAlign w:val="center"/>
            <w:hideMark/>
          </w:tcPr>
          <w:p w14:paraId="54522129" w14:textId="236F7A7F" w:rsidR="003362A6" w:rsidRPr="003362A6" w:rsidRDefault="00366452" w:rsidP="003362A6">
            <w:pPr>
              <w:jc w:val="both"/>
              <w:rPr>
                <w:rFonts w:cs="Arial"/>
                <w:color w:val="000000"/>
                <w:szCs w:val="24"/>
                <w:lang w:eastAsia="en-GB"/>
              </w:rPr>
            </w:pPr>
            <w:r>
              <w:rPr>
                <w:rFonts w:cs="Arial"/>
                <w:color w:val="000000"/>
                <w:szCs w:val="24"/>
                <w:lang w:eastAsia="en-GB"/>
              </w:rPr>
              <w:t>(</w:t>
            </w:r>
            <w:r w:rsidR="003362A6" w:rsidRPr="003362A6">
              <w:rPr>
                <w:rFonts w:cs="Arial"/>
                <w:color w:val="000000"/>
                <w:szCs w:val="24"/>
                <w:lang w:eastAsia="en-GB"/>
              </w:rPr>
              <w:t>172</w:t>
            </w:r>
            <w:r>
              <w:rPr>
                <w:rFonts w:cs="Arial"/>
                <w:color w:val="000000"/>
                <w:szCs w:val="24"/>
                <w:lang w:eastAsia="en-GB"/>
              </w:rPr>
              <w:t>)</w:t>
            </w:r>
          </w:p>
        </w:tc>
        <w:tc>
          <w:tcPr>
            <w:tcW w:w="1217" w:type="dxa"/>
            <w:tcBorders>
              <w:top w:val="nil"/>
              <w:left w:val="nil"/>
              <w:bottom w:val="single" w:sz="8" w:space="0" w:color="auto"/>
              <w:right w:val="single" w:sz="8" w:space="0" w:color="auto"/>
            </w:tcBorders>
            <w:shd w:val="clear" w:color="auto" w:fill="auto"/>
            <w:vAlign w:val="center"/>
            <w:hideMark/>
          </w:tcPr>
          <w:p w14:paraId="6DCEF98F"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172</w:t>
            </w:r>
          </w:p>
        </w:tc>
        <w:tc>
          <w:tcPr>
            <w:tcW w:w="985" w:type="dxa"/>
            <w:tcBorders>
              <w:top w:val="nil"/>
              <w:left w:val="nil"/>
              <w:bottom w:val="single" w:sz="8" w:space="0" w:color="auto"/>
              <w:right w:val="single" w:sz="8" w:space="0" w:color="auto"/>
            </w:tcBorders>
            <w:shd w:val="clear" w:color="auto" w:fill="auto"/>
            <w:vAlign w:val="center"/>
            <w:hideMark/>
          </w:tcPr>
          <w:p w14:paraId="3848D0B8"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0</w:t>
            </w:r>
          </w:p>
        </w:tc>
      </w:tr>
      <w:tr w:rsidR="003362A6" w:rsidRPr="003362A6" w14:paraId="66E462AF" w14:textId="77777777" w:rsidTr="009C6E7F">
        <w:trPr>
          <w:trHeight w:val="612"/>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1C34D044"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Grange Farm</w:t>
            </w:r>
          </w:p>
        </w:tc>
        <w:tc>
          <w:tcPr>
            <w:tcW w:w="1045" w:type="dxa"/>
            <w:tcBorders>
              <w:top w:val="nil"/>
              <w:left w:val="nil"/>
              <w:bottom w:val="single" w:sz="8" w:space="0" w:color="auto"/>
              <w:right w:val="single" w:sz="8" w:space="0" w:color="auto"/>
            </w:tcBorders>
            <w:shd w:val="clear" w:color="auto" w:fill="auto"/>
            <w:vAlign w:val="center"/>
            <w:hideMark/>
          </w:tcPr>
          <w:p w14:paraId="31267B60"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6,220</w:t>
            </w:r>
          </w:p>
        </w:tc>
        <w:tc>
          <w:tcPr>
            <w:tcW w:w="1225" w:type="dxa"/>
            <w:tcBorders>
              <w:top w:val="nil"/>
              <w:left w:val="nil"/>
              <w:bottom w:val="single" w:sz="8" w:space="0" w:color="auto"/>
              <w:right w:val="single" w:sz="8" w:space="0" w:color="auto"/>
            </w:tcBorders>
            <w:shd w:val="clear" w:color="auto" w:fill="auto"/>
            <w:vAlign w:val="center"/>
            <w:hideMark/>
          </w:tcPr>
          <w:p w14:paraId="2C57CDF8"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4,400</w:t>
            </w:r>
          </w:p>
        </w:tc>
        <w:tc>
          <w:tcPr>
            <w:tcW w:w="1251" w:type="dxa"/>
            <w:tcBorders>
              <w:top w:val="nil"/>
              <w:left w:val="nil"/>
              <w:bottom w:val="single" w:sz="8" w:space="0" w:color="auto"/>
              <w:right w:val="single" w:sz="8" w:space="0" w:color="auto"/>
            </w:tcBorders>
            <w:shd w:val="clear" w:color="auto" w:fill="auto"/>
            <w:vAlign w:val="center"/>
            <w:hideMark/>
          </w:tcPr>
          <w:p w14:paraId="3F85707F" w14:textId="06BB31CF" w:rsidR="003362A6" w:rsidRPr="003362A6" w:rsidRDefault="00366452" w:rsidP="003362A6">
            <w:pPr>
              <w:jc w:val="both"/>
              <w:rPr>
                <w:rFonts w:cs="Arial"/>
                <w:color w:val="000000"/>
                <w:szCs w:val="24"/>
                <w:lang w:eastAsia="en-GB"/>
              </w:rPr>
            </w:pPr>
            <w:r>
              <w:rPr>
                <w:rFonts w:cs="Arial"/>
                <w:color w:val="000000"/>
                <w:szCs w:val="24"/>
                <w:lang w:eastAsia="en-GB"/>
              </w:rPr>
              <w:t>(</w:t>
            </w:r>
            <w:r w:rsidR="003362A6" w:rsidRPr="003362A6">
              <w:rPr>
                <w:rFonts w:cs="Arial"/>
                <w:color w:val="000000"/>
                <w:szCs w:val="24"/>
                <w:lang w:eastAsia="en-GB"/>
              </w:rPr>
              <w:t>1,820</w:t>
            </w:r>
            <w:r>
              <w:rPr>
                <w:rFonts w:cs="Arial"/>
                <w:color w:val="000000"/>
                <w:szCs w:val="24"/>
                <w:lang w:eastAsia="en-GB"/>
              </w:rPr>
              <w:t>)</w:t>
            </w:r>
          </w:p>
        </w:tc>
        <w:tc>
          <w:tcPr>
            <w:tcW w:w="1217" w:type="dxa"/>
            <w:tcBorders>
              <w:top w:val="nil"/>
              <w:left w:val="nil"/>
              <w:bottom w:val="single" w:sz="8" w:space="0" w:color="auto"/>
              <w:right w:val="single" w:sz="8" w:space="0" w:color="auto"/>
            </w:tcBorders>
            <w:shd w:val="clear" w:color="auto" w:fill="auto"/>
            <w:vAlign w:val="center"/>
            <w:hideMark/>
          </w:tcPr>
          <w:p w14:paraId="7D3983F6"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1,820</w:t>
            </w:r>
          </w:p>
        </w:tc>
        <w:tc>
          <w:tcPr>
            <w:tcW w:w="985" w:type="dxa"/>
            <w:tcBorders>
              <w:top w:val="nil"/>
              <w:left w:val="nil"/>
              <w:bottom w:val="single" w:sz="8" w:space="0" w:color="auto"/>
              <w:right w:val="single" w:sz="8" w:space="0" w:color="auto"/>
            </w:tcBorders>
            <w:shd w:val="clear" w:color="auto" w:fill="auto"/>
            <w:vAlign w:val="center"/>
            <w:hideMark/>
          </w:tcPr>
          <w:p w14:paraId="22886DAE"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0</w:t>
            </w:r>
          </w:p>
        </w:tc>
      </w:tr>
      <w:tr w:rsidR="003362A6" w:rsidRPr="003362A6" w14:paraId="06A65BC5" w14:textId="77777777" w:rsidTr="009C6E7F">
        <w:trPr>
          <w:trHeight w:val="612"/>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62AAAF6F" w14:textId="77777777" w:rsidR="003362A6" w:rsidRPr="003362A6" w:rsidRDefault="003362A6" w:rsidP="003362A6">
            <w:pPr>
              <w:jc w:val="both"/>
              <w:rPr>
                <w:rFonts w:cs="Arial"/>
                <w:color w:val="000000"/>
                <w:szCs w:val="24"/>
                <w:lang w:eastAsia="en-GB"/>
              </w:rPr>
            </w:pPr>
            <w:proofErr w:type="spellStart"/>
            <w:r w:rsidRPr="003362A6">
              <w:rPr>
                <w:rFonts w:cs="Arial"/>
                <w:color w:val="000000"/>
                <w:szCs w:val="24"/>
                <w:lang w:eastAsia="en-GB"/>
              </w:rPr>
              <w:t>Gayton</w:t>
            </w:r>
            <w:proofErr w:type="spellEnd"/>
            <w:r w:rsidRPr="003362A6">
              <w:rPr>
                <w:rFonts w:cs="Arial"/>
                <w:color w:val="000000"/>
                <w:szCs w:val="24"/>
                <w:lang w:eastAsia="en-GB"/>
              </w:rPr>
              <w:t xml:space="preserve"> Road</w:t>
            </w:r>
          </w:p>
        </w:tc>
        <w:tc>
          <w:tcPr>
            <w:tcW w:w="1045" w:type="dxa"/>
            <w:tcBorders>
              <w:top w:val="nil"/>
              <w:left w:val="nil"/>
              <w:bottom w:val="single" w:sz="8" w:space="0" w:color="auto"/>
              <w:right w:val="single" w:sz="8" w:space="0" w:color="auto"/>
            </w:tcBorders>
            <w:shd w:val="clear" w:color="auto" w:fill="auto"/>
            <w:vAlign w:val="center"/>
            <w:hideMark/>
          </w:tcPr>
          <w:p w14:paraId="491929B0"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7,696</w:t>
            </w:r>
          </w:p>
        </w:tc>
        <w:tc>
          <w:tcPr>
            <w:tcW w:w="1225" w:type="dxa"/>
            <w:tcBorders>
              <w:top w:val="nil"/>
              <w:left w:val="nil"/>
              <w:bottom w:val="single" w:sz="8" w:space="0" w:color="auto"/>
              <w:right w:val="single" w:sz="8" w:space="0" w:color="auto"/>
            </w:tcBorders>
            <w:shd w:val="clear" w:color="auto" w:fill="auto"/>
            <w:vAlign w:val="center"/>
            <w:hideMark/>
          </w:tcPr>
          <w:p w14:paraId="65612225"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8,208</w:t>
            </w:r>
          </w:p>
        </w:tc>
        <w:tc>
          <w:tcPr>
            <w:tcW w:w="1251" w:type="dxa"/>
            <w:tcBorders>
              <w:top w:val="nil"/>
              <w:left w:val="nil"/>
              <w:bottom w:val="single" w:sz="8" w:space="0" w:color="auto"/>
              <w:right w:val="single" w:sz="8" w:space="0" w:color="auto"/>
            </w:tcBorders>
            <w:shd w:val="clear" w:color="auto" w:fill="auto"/>
            <w:vAlign w:val="center"/>
            <w:hideMark/>
          </w:tcPr>
          <w:p w14:paraId="5A67E425"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512</w:t>
            </w:r>
          </w:p>
        </w:tc>
        <w:tc>
          <w:tcPr>
            <w:tcW w:w="1217" w:type="dxa"/>
            <w:tcBorders>
              <w:top w:val="nil"/>
              <w:left w:val="nil"/>
              <w:bottom w:val="single" w:sz="8" w:space="0" w:color="auto"/>
              <w:right w:val="single" w:sz="8" w:space="0" w:color="auto"/>
            </w:tcBorders>
            <w:shd w:val="clear" w:color="auto" w:fill="auto"/>
            <w:vAlign w:val="center"/>
            <w:hideMark/>
          </w:tcPr>
          <w:p w14:paraId="5EA83F33"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0</w:t>
            </w:r>
          </w:p>
        </w:tc>
        <w:tc>
          <w:tcPr>
            <w:tcW w:w="985" w:type="dxa"/>
            <w:tcBorders>
              <w:top w:val="nil"/>
              <w:left w:val="nil"/>
              <w:bottom w:val="single" w:sz="8" w:space="0" w:color="auto"/>
              <w:right w:val="single" w:sz="8" w:space="0" w:color="auto"/>
            </w:tcBorders>
            <w:shd w:val="clear" w:color="auto" w:fill="auto"/>
            <w:vAlign w:val="center"/>
            <w:hideMark/>
          </w:tcPr>
          <w:p w14:paraId="778D669C"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512</w:t>
            </w:r>
          </w:p>
        </w:tc>
      </w:tr>
      <w:tr w:rsidR="003362A6" w:rsidRPr="003362A6" w14:paraId="4D312664" w14:textId="77777777" w:rsidTr="009C6E7F">
        <w:trPr>
          <w:trHeight w:val="312"/>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371B5A07" w14:textId="77777777" w:rsidR="003362A6" w:rsidRPr="003362A6" w:rsidRDefault="003362A6" w:rsidP="003362A6">
            <w:pPr>
              <w:jc w:val="both"/>
              <w:rPr>
                <w:rFonts w:cs="Arial"/>
                <w:color w:val="000000"/>
                <w:szCs w:val="24"/>
                <w:lang w:eastAsia="en-GB"/>
              </w:rPr>
            </w:pPr>
            <w:proofErr w:type="spellStart"/>
            <w:r w:rsidRPr="003362A6">
              <w:rPr>
                <w:rFonts w:cs="Arial"/>
                <w:color w:val="000000"/>
                <w:szCs w:val="24"/>
                <w:lang w:eastAsia="en-GB"/>
              </w:rPr>
              <w:t>BCHfL</w:t>
            </w:r>
            <w:proofErr w:type="spellEnd"/>
          </w:p>
        </w:tc>
        <w:tc>
          <w:tcPr>
            <w:tcW w:w="1045" w:type="dxa"/>
            <w:tcBorders>
              <w:top w:val="nil"/>
              <w:left w:val="nil"/>
              <w:bottom w:val="single" w:sz="8" w:space="0" w:color="auto"/>
              <w:right w:val="single" w:sz="8" w:space="0" w:color="auto"/>
            </w:tcBorders>
            <w:shd w:val="clear" w:color="auto" w:fill="auto"/>
            <w:vAlign w:val="center"/>
            <w:hideMark/>
          </w:tcPr>
          <w:p w14:paraId="2F5980A2"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6,754</w:t>
            </w:r>
          </w:p>
        </w:tc>
        <w:tc>
          <w:tcPr>
            <w:tcW w:w="1225" w:type="dxa"/>
            <w:tcBorders>
              <w:top w:val="nil"/>
              <w:left w:val="nil"/>
              <w:bottom w:val="single" w:sz="8" w:space="0" w:color="auto"/>
              <w:right w:val="single" w:sz="8" w:space="0" w:color="auto"/>
            </w:tcBorders>
            <w:shd w:val="clear" w:color="auto" w:fill="auto"/>
            <w:vAlign w:val="center"/>
            <w:hideMark/>
          </w:tcPr>
          <w:p w14:paraId="17A88246"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1,096</w:t>
            </w:r>
          </w:p>
        </w:tc>
        <w:tc>
          <w:tcPr>
            <w:tcW w:w="1251" w:type="dxa"/>
            <w:tcBorders>
              <w:top w:val="nil"/>
              <w:left w:val="nil"/>
              <w:bottom w:val="single" w:sz="8" w:space="0" w:color="auto"/>
              <w:right w:val="single" w:sz="8" w:space="0" w:color="auto"/>
            </w:tcBorders>
            <w:shd w:val="clear" w:color="auto" w:fill="auto"/>
            <w:vAlign w:val="center"/>
            <w:hideMark/>
          </w:tcPr>
          <w:p w14:paraId="369A6C7B" w14:textId="5672733E" w:rsidR="003362A6" w:rsidRPr="003362A6" w:rsidRDefault="00366452" w:rsidP="003362A6">
            <w:pPr>
              <w:jc w:val="both"/>
              <w:rPr>
                <w:rFonts w:cs="Arial"/>
                <w:color w:val="000000"/>
                <w:szCs w:val="24"/>
                <w:lang w:eastAsia="en-GB"/>
              </w:rPr>
            </w:pPr>
            <w:r>
              <w:rPr>
                <w:rFonts w:cs="Arial"/>
                <w:color w:val="000000"/>
                <w:szCs w:val="24"/>
                <w:lang w:eastAsia="en-GB"/>
              </w:rPr>
              <w:t>(</w:t>
            </w:r>
            <w:r w:rsidR="003362A6" w:rsidRPr="003362A6">
              <w:rPr>
                <w:rFonts w:cs="Arial"/>
                <w:color w:val="000000"/>
                <w:szCs w:val="24"/>
                <w:lang w:eastAsia="en-GB"/>
              </w:rPr>
              <w:t>5,658</w:t>
            </w:r>
            <w:r>
              <w:rPr>
                <w:rFonts w:cs="Arial"/>
                <w:color w:val="000000"/>
                <w:szCs w:val="24"/>
                <w:lang w:eastAsia="en-GB"/>
              </w:rPr>
              <w:t>)</w:t>
            </w:r>
          </w:p>
        </w:tc>
        <w:tc>
          <w:tcPr>
            <w:tcW w:w="1217" w:type="dxa"/>
            <w:tcBorders>
              <w:top w:val="nil"/>
              <w:left w:val="nil"/>
              <w:bottom w:val="single" w:sz="8" w:space="0" w:color="auto"/>
              <w:right w:val="single" w:sz="8" w:space="0" w:color="auto"/>
            </w:tcBorders>
            <w:shd w:val="clear" w:color="auto" w:fill="auto"/>
            <w:vAlign w:val="center"/>
            <w:hideMark/>
          </w:tcPr>
          <w:p w14:paraId="5D40753C"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5,658</w:t>
            </w:r>
          </w:p>
        </w:tc>
        <w:tc>
          <w:tcPr>
            <w:tcW w:w="985" w:type="dxa"/>
            <w:tcBorders>
              <w:top w:val="nil"/>
              <w:left w:val="nil"/>
              <w:bottom w:val="single" w:sz="8" w:space="0" w:color="auto"/>
              <w:right w:val="single" w:sz="8" w:space="0" w:color="auto"/>
            </w:tcBorders>
            <w:shd w:val="clear" w:color="auto" w:fill="auto"/>
            <w:vAlign w:val="center"/>
            <w:hideMark/>
          </w:tcPr>
          <w:p w14:paraId="0CDE74BD" w14:textId="77777777" w:rsidR="003362A6" w:rsidRPr="003362A6" w:rsidRDefault="003362A6" w:rsidP="003362A6">
            <w:pPr>
              <w:jc w:val="both"/>
              <w:rPr>
                <w:rFonts w:cs="Arial"/>
                <w:color w:val="000000"/>
                <w:szCs w:val="24"/>
                <w:lang w:eastAsia="en-GB"/>
              </w:rPr>
            </w:pPr>
            <w:r w:rsidRPr="003362A6">
              <w:rPr>
                <w:rFonts w:cs="Arial"/>
                <w:color w:val="000000"/>
                <w:szCs w:val="24"/>
                <w:lang w:eastAsia="en-GB"/>
              </w:rPr>
              <w:t>0</w:t>
            </w:r>
          </w:p>
        </w:tc>
      </w:tr>
      <w:tr w:rsidR="003362A6" w:rsidRPr="003362A6" w14:paraId="650A807D" w14:textId="77777777" w:rsidTr="009C6E7F">
        <w:trPr>
          <w:trHeight w:val="324"/>
        </w:trPr>
        <w:tc>
          <w:tcPr>
            <w:tcW w:w="1537" w:type="dxa"/>
            <w:tcBorders>
              <w:top w:val="nil"/>
              <w:left w:val="single" w:sz="8" w:space="0" w:color="auto"/>
              <w:bottom w:val="single" w:sz="8" w:space="0" w:color="auto"/>
              <w:right w:val="single" w:sz="8" w:space="0" w:color="auto"/>
            </w:tcBorders>
            <w:shd w:val="clear" w:color="auto" w:fill="auto"/>
            <w:vAlign w:val="center"/>
            <w:hideMark/>
          </w:tcPr>
          <w:p w14:paraId="719A98DA" w14:textId="77777777" w:rsidR="003362A6" w:rsidRPr="003362A6" w:rsidRDefault="003362A6" w:rsidP="003362A6">
            <w:pPr>
              <w:jc w:val="both"/>
              <w:rPr>
                <w:rFonts w:cs="Arial"/>
                <w:b/>
                <w:bCs/>
                <w:color w:val="000000"/>
                <w:szCs w:val="24"/>
                <w:lang w:eastAsia="en-GB"/>
              </w:rPr>
            </w:pPr>
            <w:r w:rsidRPr="003362A6">
              <w:rPr>
                <w:rFonts w:cs="Arial"/>
                <w:b/>
                <w:bCs/>
                <w:color w:val="000000"/>
                <w:szCs w:val="24"/>
                <w:lang w:eastAsia="en-GB"/>
              </w:rPr>
              <w:t>HRA total</w:t>
            </w:r>
          </w:p>
        </w:tc>
        <w:tc>
          <w:tcPr>
            <w:tcW w:w="1045" w:type="dxa"/>
            <w:tcBorders>
              <w:top w:val="nil"/>
              <w:left w:val="nil"/>
              <w:bottom w:val="single" w:sz="8" w:space="0" w:color="auto"/>
              <w:right w:val="single" w:sz="8" w:space="0" w:color="auto"/>
            </w:tcBorders>
            <w:shd w:val="clear" w:color="auto" w:fill="auto"/>
            <w:vAlign w:val="center"/>
            <w:hideMark/>
          </w:tcPr>
          <w:p w14:paraId="52E6CAD2" w14:textId="77777777" w:rsidR="003362A6" w:rsidRPr="003362A6" w:rsidRDefault="003362A6" w:rsidP="003362A6">
            <w:pPr>
              <w:jc w:val="both"/>
              <w:rPr>
                <w:rFonts w:cs="Arial"/>
                <w:b/>
                <w:bCs/>
                <w:color w:val="000000"/>
                <w:sz w:val="22"/>
                <w:szCs w:val="22"/>
                <w:lang w:eastAsia="en-GB"/>
              </w:rPr>
            </w:pPr>
            <w:r w:rsidRPr="003362A6">
              <w:rPr>
                <w:rFonts w:eastAsia="Calibri" w:cs="Arial"/>
                <w:b/>
                <w:bCs/>
                <w:color w:val="000000"/>
                <w:sz w:val="22"/>
                <w:szCs w:val="22"/>
                <w:lang w:eastAsia="en-GB"/>
              </w:rPr>
              <w:t>32,229</w:t>
            </w:r>
          </w:p>
        </w:tc>
        <w:tc>
          <w:tcPr>
            <w:tcW w:w="1225" w:type="dxa"/>
            <w:tcBorders>
              <w:top w:val="nil"/>
              <w:left w:val="nil"/>
              <w:bottom w:val="single" w:sz="8" w:space="0" w:color="auto"/>
              <w:right w:val="single" w:sz="8" w:space="0" w:color="auto"/>
            </w:tcBorders>
            <w:shd w:val="clear" w:color="auto" w:fill="auto"/>
            <w:vAlign w:val="center"/>
            <w:hideMark/>
          </w:tcPr>
          <w:p w14:paraId="7AFFBC38" w14:textId="77777777" w:rsidR="003362A6" w:rsidRPr="003362A6" w:rsidRDefault="003362A6" w:rsidP="003362A6">
            <w:pPr>
              <w:jc w:val="both"/>
              <w:rPr>
                <w:rFonts w:cs="Arial"/>
                <w:b/>
                <w:bCs/>
                <w:color w:val="000000"/>
                <w:sz w:val="22"/>
                <w:szCs w:val="22"/>
                <w:lang w:eastAsia="en-GB"/>
              </w:rPr>
            </w:pPr>
            <w:r w:rsidRPr="003362A6">
              <w:rPr>
                <w:rFonts w:eastAsia="Calibri" w:cs="Arial"/>
                <w:b/>
                <w:bCs/>
                <w:color w:val="000000"/>
                <w:sz w:val="22"/>
                <w:szCs w:val="22"/>
                <w:lang w:eastAsia="en-GB"/>
              </w:rPr>
              <w:t>21,471</w:t>
            </w:r>
          </w:p>
        </w:tc>
        <w:tc>
          <w:tcPr>
            <w:tcW w:w="1251" w:type="dxa"/>
            <w:tcBorders>
              <w:top w:val="nil"/>
              <w:left w:val="nil"/>
              <w:bottom w:val="single" w:sz="8" w:space="0" w:color="auto"/>
              <w:right w:val="single" w:sz="8" w:space="0" w:color="auto"/>
            </w:tcBorders>
            <w:shd w:val="clear" w:color="auto" w:fill="auto"/>
            <w:vAlign w:val="center"/>
            <w:hideMark/>
          </w:tcPr>
          <w:p w14:paraId="3FE499B1" w14:textId="7FBBEF55" w:rsidR="003362A6" w:rsidRPr="003362A6" w:rsidRDefault="00366452" w:rsidP="003362A6">
            <w:pPr>
              <w:jc w:val="both"/>
              <w:rPr>
                <w:rFonts w:cs="Arial"/>
                <w:b/>
                <w:bCs/>
                <w:color w:val="000000"/>
                <w:sz w:val="22"/>
                <w:szCs w:val="22"/>
                <w:lang w:eastAsia="en-GB"/>
              </w:rPr>
            </w:pPr>
            <w:r>
              <w:rPr>
                <w:rFonts w:eastAsia="Calibri" w:cs="Arial"/>
                <w:b/>
                <w:bCs/>
                <w:color w:val="000000"/>
                <w:sz w:val="22"/>
                <w:szCs w:val="22"/>
                <w:lang w:eastAsia="en-GB"/>
              </w:rPr>
              <w:t>(</w:t>
            </w:r>
            <w:r w:rsidR="003362A6" w:rsidRPr="003362A6">
              <w:rPr>
                <w:rFonts w:eastAsia="Calibri" w:cs="Arial"/>
                <w:b/>
                <w:bCs/>
                <w:color w:val="000000"/>
                <w:sz w:val="22"/>
                <w:szCs w:val="22"/>
                <w:lang w:eastAsia="en-GB"/>
              </w:rPr>
              <w:t>10,758</w:t>
            </w:r>
            <w:r>
              <w:rPr>
                <w:rFonts w:eastAsia="Calibri" w:cs="Arial"/>
                <w:b/>
                <w:bCs/>
                <w:color w:val="000000"/>
                <w:sz w:val="22"/>
                <w:szCs w:val="22"/>
                <w:lang w:eastAsia="en-GB"/>
              </w:rPr>
              <w:t>)</w:t>
            </w:r>
          </w:p>
        </w:tc>
        <w:tc>
          <w:tcPr>
            <w:tcW w:w="1217" w:type="dxa"/>
            <w:tcBorders>
              <w:top w:val="nil"/>
              <w:left w:val="nil"/>
              <w:bottom w:val="single" w:sz="8" w:space="0" w:color="auto"/>
              <w:right w:val="single" w:sz="8" w:space="0" w:color="auto"/>
            </w:tcBorders>
            <w:shd w:val="clear" w:color="auto" w:fill="auto"/>
            <w:vAlign w:val="center"/>
            <w:hideMark/>
          </w:tcPr>
          <w:p w14:paraId="3FE903FA" w14:textId="77777777" w:rsidR="003362A6" w:rsidRPr="003362A6" w:rsidRDefault="003362A6" w:rsidP="003362A6">
            <w:pPr>
              <w:jc w:val="both"/>
              <w:rPr>
                <w:rFonts w:cs="Arial"/>
                <w:b/>
                <w:bCs/>
                <w:color w:val="000000"/>
                <w:sz w:val="22"/>
                <w:szCs w:val="22"/>
                <w:lang w:eastAsia="en-GB"/>
              </w:rPr>
            </w:pPr>
            <w:r w:rsidRPr="003362A6">
              <w:rPr>
                <w:rFonts w:eastAsia="Calibri" w:cs="Arial"/>
                <w:b/>
                <w:bCs/>
                <w:color w:val="000000"/>
                <w:sz w:val="22"/>
                <w:szCs w:val="22"/>
                <w:lang w:eastAsia="en-GB"/>
              </w:rPr>
              <w:t>11,270</w:t>
            </w:r>
          </w:p>
        </w:tc>
        <w:tc>
          <w:tcPr>
            <w:tcW w:w="985" w:type="dxa"/>
            <w:tcBorders>
              <w:top w:val="nil"/>
              <w:left w:val="nil"/>
              <w:bottom w:val="single" w:sz="8" w:space="0" w:color="auto"/>
              <w:right w:val="single" w:sz="8" w:space="0" w:color="auto"/>
            </w:tcBorders>
            <w:shd w:val="clear" w:color="auto" w:fill="auto"/>
            <w:vAlign w:val="center"/>
            <w:hideMark/>
          </w:tcPr>
          <w:p w14:paraId="694A5E24" w14:textId="77777777" w:rsidR="003362A6" w:rsidRPr="003362A6" w:rsidRDefault="003362A6" w:rsidP="003362A6">
            <w:pPr>
              <w:jc w:val="both"/>
              <w:rPr>
                <w:rFonts w:cs="Arial"/>
                <w:b/>
                <w:bCs/>
                <w:color w:val="000000"/>
                <w:sz w:val="22"/>
                <w:szCs w:val="22"/>
                <w:lang w:eastAsia="en-GB"/>
              </w:rPr>
            </w:pPr>
            <w:r w:rsidRPr="003362A6">
              <w:rPr>
                <w:rFonts w:eastAsia="Calibri" w:cs="Arial"/>
                <w:b/>
                <w:bCs/>
                <w:color w:val="000000"/>
                <w:sz w:val="22"/>
                <w:szCs w:val="22"/>
                <w:lang w:eastAsia="en-GB"/>
              </w:rPr>
              <w:t>512</w:t>
            </w:r>
          </w:p>
        </w:tc>
      </w:tr>
    </w:tbl>
    <w:p w14:paraId="5D8AB653" w14:textId="77777777" w:rsidR="00981F8F" w:rsidRDefault="00981F8F">
      <w:pPr>
        <w:pStyle w:val="ListParagraph"/>
        <w:tabs>
          <w:tab w:val="left" w:pos="567"/>
        </w:tabs>
        <w:ind w:left="567"/>
        <w:jc w:val="both"/>
        <w:rPr>
          <w:rFonts w:cs="Arial"/>
          <w:szCs w:val="24"/>
        </w:rPr>
      </w:pPr>
    </w:p>
    <w:p w14:paraId="21FAC9A5" w14:textId="786444D7" w:rsidR="00E1049C" w:rsidRPr="00E36BBB" w:rsidRDefault="00E1049C">
      <w:pPr>
        <w:pStyle w:val="ListParagraph"/>
        <w:numPr>
          <w:ilvl w:val="0"/>
          <w:numId w:val="22"/>
        </w:numPr>
        <w:tabs>
          <w:tab w:val="left" w:pos="567"/>
        </w:tabs>
        <w:ind w:left="567" w:hanging="567"/>
        <w:jc w:val="both"/>
        <w:rPr>
          <w:rFonts w:cs="Arial"/>
          <w:szCs w:val="24"/>
        </w:rPr>
      </w:pPr>
      <w:r w:rsidRPr="007C0D59">
        <w:rPr>
          <w:rFonts w:cs="Arial"/>
          <w:szCs w:val="24"/>
        </w:rPr>
        <w:t>Th</w:t>
      </w:r>
      <w:r w:rsidR="00E85725">
        <w:rPr>
          <w:rFonts w:cs="Arial"/>
          <w:szCs w:val="24"/>
        </w:rPr>
        <w:t xml:space="preserve">e </w:t>
      </w:r>
      <w:r w:rsidRPr="007C0D59">
        <w:rPr>
          <w:rFonts w:cs="Arial"/>
          <w:szCs w:val="24"/>
        </w:rPr>
        <w:t xml:space="preserve">forecast </w:t>
      </w:r>
      <w:r w:rsidR="009776C7">
        <w:rPr>
          <w:rFonts w:cs="Arial"/>
          <w:szCs w:val="24"/>
        </w:rPr>
        <w:t xml:space="preserve">net </w:t>
      </w:r>
      <w:r w:rsidRPr="007C0D59">
        <w:rPr>
          <w:rFonts w:cs="Arial"/>
          <w:szCs w:val="24"/>
        </w:rPr>
        <w:t xml:space="preserve">variance </w:t>
      </w:r>
      <w:r w:rsidR="00E85725">
        <w:rPr>
          <w:rFonts w:cs="Arial"/>
          <w:szCs w:val="24"/>
        </w:rPr>
        <w:t xml:space="preserve">is </w:t>
      </w:r>
      <w:r w:rsidR="004134A1">
        <w:rPr>
          <w:rFonts w:cs="Arial"/>
          <w:szCs w:val="24"/>
        </w:rPr>
        <w:t>(£10.75</w:t>
      </w:r>
      <w:r w:rsidR="00874B59">
        <w:rPr>
          <w:rFonts w:cs="Arial"/>
          <w:szCs w:val="24"/>
        </w:rPr>
        <w:t>8</w:t>
      </w:r>
      <w:r w:rsidR="004134A1">
        <w:rPr>
          <w:rFonts w:cs="Arial"/>
          <w:szCs w:val="24"/>
        </w:rPr>
        <w:t>m)</w:t>
      </w:r>
      <w:r w:rsidRPr="007C0D59">
        <w:rPr>
          <w:rFonts w:cs="Arial"/>
          <w:szCs w:val="24"/>
        </w:rPr>
        <w:t xml:space="preserve"> of which </w:t>
      </w:r>
      <w:r w:rsidR="00E36BBB">
        <w:rPr>
          <w:rFonts w:cs="Arial"/>
          <w:szCs w:val="24"/>
        </w:rPr>
        <w:t>£11.27</w:t>
      </w:r>
      <w:r w:rsidR="00874B59">
        <w:rPr>
          <w:rFonts w:cs="Arial"/>
          <w:szCs w:val="24"/>
        </w:rPr>
        <w:t>0</w:t>
      </w:r>
      <w:r w:rsidR="00E36BBB">
        <w:rPr>
          <w:rFonts w:cs="Arial"/>
          <w:szCs w:val="24"/>
        </w:rPr>
        <w:t>m</w:t>
      </w:r>
      <w:r w:rsidR="004134A1">
        <w:rPr>
          <w:rFonts w:cs="Arial"/>
          <w:szCs w:val="24"/>
        </w:rPr>
        <w:t xml:space="preserve"> </w:t>
      </w:r>
      <w:r w:rsidRPr="007C0D59">
        <w:rPr>
          <w:rFonts w:cs="Arial"/>
          <w:szCs w:val="24"/>
        </w:rPr>
        <w:t xml:space="preserve">will be slipped into 2020/21 resulting in an overall </w:t>
      </w:r>
      <w:r w:rsidR="00E36BBB">
        <w:rPr>
          <w:rFonts w:cs="Arial"/>
          <w:szCs w:val="24"/>
        </w:rPr>
        <w:t xml:space="preserve">pressure of </w:t>
      </w:r>
      <w:r w:rsidR="004134A1">
        <w:rPr>
          <w:rFonts w:cs="Arial"/>
          <w:szCs w:val="24"/>
        </w:rPr>
        <w:t>£</w:t>
      </w:r>
      <w:r w:rsidR="000F6980">
        <w:rPr>
          <w:rFonts w:cs="Arial"/>
          <w:szCs w:val="24"/>
        </w:rPr>
        <w:t>512k;</w:t>
      </w:r>
      <w:r w:rsidR="00492EC0">
        <w:rPr>
          <w:rFonts w:cs="Arial"/>
          <w:szCs w:val="24"/>
        </w:rPr>
        <w:t xml:space="preserve"> this is</w:t>
      </w:r>
      <w:r w:rsidRPr="007C0D59">
        <w:rPr>
          <w:rFonts w:cs="Arial"/>
          <w:szCs w:val="24"/>
        </w:rPr>
        <w:t xml:space="preserve"> </w:t>
      </w:r>
      <w:r w:rsidR="00E36BBB">
        <w:rPr>
          <w:rFonts w:cs="Arial"/>
          <w:szCs w:val="24"/>
        </w:rPr>
        <w:t xml:space="preserve">attributable to </w:t>
      </w:r>
      <w:r w:rsidRPr="007C0D59">
        <w:rPr>
          <w:rFonts w:cs="Arial"/>
          <w:szCs w:val="24"/>
        </w:rPr>
        <w:t>additional expenditure for the transfer of</w:t>
      </w:r>
      <w:r w:rsidR="005A2C5E">
        <w:rPr>
          <w:rFonts w:cs="Arial"/>
          <w:szCs w:val="24"/>
        </w:rPr>
        <w:t xml:space="preserve"> the</w:t>
      </w:r>
      <w:r w:rsidR="00492EC0">
        <w:rPr>
          <w:rFonts w:cs="Arial"/>
          <w:szCs w:val="24"/>
        </w:rPr>
        <w:t xml:space="preserve"> 72</w:t>
      </w:r>
      <w:r w:rsidRPr="007C0D59">
        <w:rPr>
          <w:rFonts w:cs="Arial"/>
          <w:szCs w:val="24"/>
        </w:rPr>
        <w:t xml:space="preserve"> </w:t>
      </w:r>
      <w:r w:rsidR="005A2C5E">
        <w:rPr>
          <w:rFonts w:cs="Arial"/>
          <w:szCs w:val="24"/>
        </w:rPr>
        <w:t xml:space="preserve">affordable units in </w:t>
      </w:r>
      <w:proofErr w:type="spellStart"/>
      <w:r w:rsidRPr="007C0D59">
        <w:rPr>
          <w:rFonts w:cs="Arial"/>
          <w:szCs w:val="24"/>
        </w:rPr>
        <w:t>Gayton</w:t>
      </w:r>
      <w:proofErr w:type="spellEnd"/>
      <w:r w:rsidRPr="007C0D59">
        <w:rPr>
          <w:rFonts w:cs="Arial"/>
          <w:szCs w:val="24"/>
        </w:rPr>
        <w:t xml:space="preserve"> Road from General Fund</w:t>
      </w:r>
      <w:r w:rsidR="00E36BBB">
        <w:rPr>
          <w:rFonts w:cs="Arial"/>
          <w:szCs w:val="24"/>
        </w:rPr>
        <w:t xml:space="preserve"> which </w:t>
      </w:r>
      <w:r w:rsidR="00E36BBB" w:rsidRPr="00E36BBB">
        <w:rPr>
          <w:rFonts w:cs="Arial"/>
          <w:szCs w:val="24"/>
        </w:rPr>
        <w:t>will be funded from additional HRA borrowing capacity</w:t>
      </w:r>
      <w:r w:rsidR="00E36BBB">
        <w:rPr>
          <w:rFonts w:cs="Arial"/>
          <w:szCs w:val="24"/>
        </w:rPr>
        <w:t>.</w:t>
      </w:r>
      <w:r w:rsidR="003D275F" w:rsidRPr="00E36BBB">
        <w:rPr>
          <w:rFonts w:cs="Arial"/>
          <w:szCs w:val="24"/>
        </w:rPr>
        <w:t xml:space="preserve"> </w:t>
      </w:r>
      <w:r w:rsidRPr="00E36BBB">
        <w:rPr>
          <w:rFonts w:cs="Arial"/>
          <w:szCs w:val="24"/>
        </w:rPr>
        <w:t xml:space="preserve">Details of the HRA </w:t>
      </w:r>
      <w:r w:rsidR="00072CAD" w:rsidRPr="00E36BBB">
        <w:rPr>
          <w:rFonts w:cs="Arial"/>
          <w:szCs w:val="24"/>
        </w:rPr>
        <w:t>C</w:t>
      </w:r>
      <w:r w:rsidRPr="00E36BBB">
        <w:rPr>
          <w:rFonts w:cs="Arial"/>
          <w:szCs w:val="24"/>
        </w:rPr>
        <w:t xml:space="preserve">apital </w:t>
      </w:r>
      <w:r w:rsidR="00072CAD" w:rsidRPr="00E36BBB">
        <w:rPr>
          <w:rFonts w:cs="Arial"/>
          <w:szCs w:val="24"/>
        </w:rPr>
        <w:t>P</w:t>
      </w:r>
      <w:r w:rsidRPr="00E36BBB">
        <w:rPr>
          <w:rFonts w:cs="Arial"/>
          <w:szCs w:val="24"/>
        </w:rPr>
        <w:t xml:space="preserve">rogramme which </w:t>
      </w:r>
      <w:r w:rsidR="009676A0">
        <w:rPr>
          <w:rFonts w:cs="Arial"/>
          <w:szCs w:val="24"/>
        </w:rPr>
        <w:t xml:space="preserve">now </w:t>
      </w:r>
      <w:r w:rsidRPr="00E36BBB">
        <w:rPr>
          <w:rFonts w:cs="Arial"/>
          <w:szCs w:val="24"/>
        </w:rPr>
        <w:t xml:space="preserve">includes substantial budgets for new Council housing </w:t>
      </w:r>
      <w:r w:rsidR="00E85725" w:rsidRPr="00E36BBB">
        <w:rPr>
          <w:rFonts w:cs="Arial"/>
          <w:szCs w:val="24"/>
        </w:rPr>
        <w:t xml:space="preserve">is </w:t>
      </w:r>
      <w:r w:rsidR="00492EC0">
        <w:rPr>
          <w:rFonts w:cs="Arial"/>
          <w:szCs w:val="24"/>
        </w:rPr>
        <w:t>as follows:</w:t>
      </w:r>
    </w:p>
    <w:p w14:paraId="2D168753" w14:textId="77777777" w:rsidR="00E1049C" w:rsidRPr="003634DA" w:rsidRDefault="00E1049C">
      <w:pPr>
        <w:pStyle w:val="ListParagraph"/>
        <w:ind w:left="851"/>
        <w:jc w:val="both"/>
        <w:rPr>
          <w:rFonts w:cs="Arial"/>
          <w:szCs w:val="24"/>
          <w:lang w:val="en-US"/>
        </w:rPr>
      </w:pPr>
    </w:p>
    <w:p w14:paraId="54524076" w14:textId="37743D8B" w:rsidR="00E1049C" w:rsidRPr="00297D4C" w:rsidRDefault="00E1049C">
      <w:pPr>
        <w:pStyle w:val="ListParagraph"/>
        <w:numPr>
          <w:ilvl w:val="0"/>
          <w:numId w:val="34"/>
        </w:numPr>
        <w:ind w:left="851" w:hanging="284"/>
        <w:jc w:val="both"/>
        <w:rPr>
          <w:rFonts w:cs="Arial"/>
          <w:szCs w:val="24"/>
          <w:lang w:val="en-US"/>
        </w:rPr>
      </w:pPr>
      <w:r w:rsidRPr="00297D4C">
        <w:rPr>
          <w:rFonts w:cs="Arial"/>
          <w:szCs w:val="24"/>
          <w:lang w:val="en-US"/>
        </w:rPr>
        <w:t xml:space="preserve">Planned Investment </w:t>
      </w:r>
      <w:proofErr w:type="spellStart"/>
      <w:r w:rsidRPr="00297D4C">
        <w:rPr>
          <w:rFonts w:cs="Arial"/>
          <w:szCs w:val="24"/>
          <w:lang w:val="en-US"/>
        </w:rPr>
        <w:t>programme</w:t>
      </w:r>
      <w:proofErr w:type="spellEnd"/>
      <w:r w:rsidR="00E73F6F">
        <w:rPr>
          <w:rFonts w:cs="Arial"/>
          <w:szCs w:val="24"/>
          <w:lang w:val="en-US"/>
        </w:rPr>
        <w:t xml:space="preserve"> - </w:t>
      </w:r>
      <w:r w:rsidR="004134A1" w:rsidRPr="00297D4C">
        <w:rPr>
          <w:rFonts w:cs="Arial"/>
          <w:szCs w:val="24"/>
          <w:lang w:val="en-US"/>
        </w:rPr>
        <w:t>£6.</w:t>
      </w:r>
      <w:r w:rsidR="006A7FBE" w:rsidRPr="00297D4C">
        <w:rPr>
          <w:rFonts w:cs="Arial"/>
          <w:szCs w:val="24"/>
          <w:lang w:val="en-US"/>
        </w:rPr>
        <w:t>163</w:t>
      </w:r>
      <w:r w:rsidR="004134A1" w:rsidRPr="00297D4C">
        <w:rPr>
          <w:rFonts w:cs="Arial"/>
          <w:szCs w:val="24"/>
          <w:lang w:val="en-US"/>
        </w:rPr>
        <w:t xml:space="preserve">m spend expected </w:t>
      </w:r>
      <w:r w:rsidR="006A7FBE" w:rsidRPr="00297D4C">
        <w:rPr>
          <w:rFonts w:cs="Arial"/>
          <w:szCs w:val="24"/>
          <w:lang w:val="en-US"/>
        </w:rPr>
        <w:t xml:space="preserve">yielding variation of £3.621m </w:t>
      </w:r>
      <w:r w:rsidR="00E36BBB" w:rsidRPr="00297D4C">
        <w:rPr>
          <w:rFonts w:cs="Arial"/>
          <w:szCs w:val="24"/>
          <w:lang w:val="en-US"/>
        </w:rPr>
        <w:t xml:space="preserve">all </w:t>
      </w:r>
      <w:r w:rsidR="006A7FBE" w:rsidRPr="00297D4C">
        <w:rPr>
          <w:rFonts w:cs="Arial"/>
          <w:szCs w:val="24"/>
          <w:lang w:val="en-US"/>
        </w:rPr>
        <w:t xml:space="preserve">of which </w:t>
      </w:r>
      <w:r w:rsidR="00E36BBB" w:rsidRPr="00297D4C">
        <w:rPr>
          <w:rFonts w:cs="Arial"/>
          <w:szCs w:val="24"/>
          <w:lang w:val="en-US"/>
        </w:rPr>
        <w:t>is treated as</w:t>
      </w:r>
      <w:r w:rsidR="006A7FBE" w:rsidRPr="00297D4C">
        <w:rPr>
          <w:rFonts w:cs="Arial"/>
          <w:szCs w:val="24"/>
          <w:lang w:val="en-US"/>
        </w:rPr>
        <w:t xml:space="preserve"> slippage to 2020/21 </w:t>
      </w:r>
      <w:r w:rsidR="00E36BBB" w:rsidRPr="00297D4C">
        <w:rPr>
          <w:rFonts w:cs="Arial"/>
          <w:szCs w:val="24"/>
          <w:lang w:val="en-US"/>
        </w:rPr>
        <w:t xml:space="preserve">pending a fuller review of the </w:t>
      </w:r>
      <w:proofErr w:type="spellStart"/>
      <w:r w:rsidR="00E36BBB" w:rsidRPr="00297D4C">
        <w:rPr>
          <w:rFonts w:cs="Arial"/>
          <w:szCs w:val="24"/>
          <w:lang w:val="en-US"/>
        </w:rPr>
        <w:t>programme</w:t>
      </w:r>
      <w:proofErr w:type="spellEnd"/>
      <w:r w:rsidR="00E36BBB" w:rsidRPr="00297D4C">
        <w:rPr>
          <w:rFonts w:cs="Arial"/>
          <w:szCs w:val="24"/>
          <w:lang w:val="en-US"/>
        </w:rPr>
        <w:t xml:space="preserve"> to be reported to Cabinet at Q</w:t>
      </w:r>
      <w:r w:rsidR="002E159B" w:rsidRPr="00297D4C">
        <w:rPr>
          <w:rFonts w:cs="Arial"/>
          <w:szCs w:val="24"/>
          <w:lang w:val="en-US"/>
        </w:rPr>
        <w:t>uarter</w:t>
      </w:r>
      <w:r w:rsidR="00E36BBB" w:rsidRPr="00297D4C">
        <w:rPr>
          <w:rFonts w:cs="Arial"/>
          <w:szCs w:val="24"/>
          <w:lang w:val="en-US"/>
        </w:rPr>
        <w:t xml:space="preserve"> 3</w:t>
      </w:r>
      <w:r w:rsidR="006A7FBE" w:rsidRPr="00297D4C">
        <w:rPr>
          <w:rFonts w:cs="Arial"/>
          <w:szCs w:val="24"/>
          <w:lang w:val="en-US"/>
        </w:rPr>
        <w:t xml:space="preserve">. Focus of </w:t>
      </w:r>
      <w:proofErr w:type="spellStart"/>
      <w:r w:rsidR="006A7FBE" w:rsidRPr="00297D4C">
        <w:rPr>
          <w:rFonts w:cs="Arial"/>
          <w:szCs w:val="24"/>
          <w:lang w:val="en-US"/>
        </w:rPr>
        <w:t>programme</w:t>
      </w:r>
      <w:proofErr w:type="spellEnd"/>
      <w:r w:rsidR="006A7FBE" w:rsidRPr="00297D4C">
        <w:rPr>
          <w:rFonts w:cs="Arial"/>
          <w:szCs w:val="24"/>
          <w:lang w:val="en-US"/>
        </w:rPr>
        <w:t xml:space="preserve"> is compliance and health &amp; safety works with </w:t>
      </w:r>
      <w:r w:rsidR="006A7FBE" w:rsidRPr="00297D4C">
        <w:rPr>
          <w:rFonts w:cs="Arial"/>
          <w:szCs w:val="24"/>
          <w:lang w:val="en-US"/>
        </w:rPr>
        <w:lastRenderedPageBreak/>
        <w:t xml:space="preserve">expenditure also assumed for new </w:t>
      </w:r>
      <w:r w:rsidR="000D7E6E" w:rsidRPr="00297D4C">
        <w:rPr>
          <w:rFonts w:cs="Arial"/>
          <w:szCs w:val="24"/>
          <w:lang w:val="en-US"/>
        </w:rPr>
        <w:t xml:space="preserve">housing </w:t>
      </w:r>
      <w:r w:rsidR="006A7FBE" w:rsidRPr="00297D4C">
        <w:rPr>
          <w:rFonts w:cs="Arial"/>
          <w:szCs w:val="24"/>
          <w:lang w:val="en-US"/>
        </w:rPr>
        <w:t xml:space="preserve">IT system. Slippage </w:t>
      </w:r>
      <w:r w:rsidR="000349E9" w:rsidRPr="00297D4C">
        <w:rPr>
          <w:rFonts w:cs="Arial"/>
          <w:szCs w:val="24"/>
          <w:lang w:val="en-US"/>
        </w:rPr>
        <w:t xml:space="preserve">includes </w:t>
      </w:r>
      <w:r w:rsidR="006A7FBE" w:rsidRPr="00297D4C">
        <w:rPr>
          <w:rFonts w:cs="Arial"/>
          <w:szCs w:val="24"/>
          <w:lang w:val="en-US"/>
        </w:rPr>
        <w:t>heating works (£800k)</w:t>
      </w:r>
      <w:r w:rsidR="00297D4C" w:rsidRPr="00297D4C">
        <w:rPr>
          <w:rFonts w:cs="Arial"/>
          <w:szCs w:val="24"/>
          <w:lang w:val="en-US"/>
        </w:rPr>
        <w:t>;</w:t>
      </w:r>
      <w:r w:rsidR="006A7FBE" w:rsidRPr="00297D4C">
        <w:rPr>
          <w:rFonts w:cs="Arial"/>
          <w:szCs w:val="24"/>
          <w:lang w:val="en-US"/>
        </w:rPr>
        <w:t xml:space="preserve"> roofing works at Pinner Grove (£728k) and with remainder for block security</w:t>
      </w:r>
      <w:r w:rsidR="000349E9" w:rsidRPr="00297D4C">
        <w:rPr>
          <w:rFonts w:cs="Arial"/>
          <w:szCs w:val="24"/>
          <w:lang w:val="en-US"/>
        </w:rPr>
        <w:t xml:space="preserve">, </w:t>
      </w:r>
      <w:r w:rsidR="006A7FBE" w:rsidRPr="00297D4C">
        <w:rPr>
          <w:rFonts w:cs="Arial"/>
          <w:szCs w:val="24"/>
          <w:lang w:val="en-US"/>
        </w:rPr>
        <w:t>windows &amp; doors works</w:t>
      </w:r>
      <w:r w:rsidR="000349E9" w:rsidRPr="00297D4C">
        <w:rPr>
          <w:rFonts w:cs="Arial"/>
          <w:szCs w:val="24"/>
          <w:lang w:val="en-US"/>
        </w:rPr>
        <w:t xml:space="preserve"> and other works which are expected to emerge following results of the stock condition survey.</w:t>
      </w:r>
      <w:r w:rsidR="002E159B" w:rsidRPr="00825AC5">
        <w:rPr>
          <w:rFonts w:cs="Arial"/>
          <w:szCs w:val="24"/>
          <w:lang w:val="en-US"/>
        </w:rPr>
        <w:t xml:space="preserve"> </w:t>
      </w:r>
    </w:p>
    <w:p w14:paraId="727FC961" w14:textId="77777777" w:rsidR="00E1049C" w:rsidRPr="003634DA" w:rsidRDefault="00E1049C">
      <w:pPr>
        <w:pStyle w:val="ListParagraph"/>
        <w:ind w:left="851"/>
        <w:jc w:val="both"/>
        <w:rPr>
          <w:rFonts w:cs="Arial"/>
          <w:szCs w:val="24"/>
          <w:lang w:val="en-US"/>
        </w:rPr>
      </w:pPr>
    </w:p>
    <w:p w14:paraId="2B5D7843" w14:textId="371D2105" w:rsidR="00E1049C" w:rsidRPr="003634DA" w:rsidRDefault="00E1049C">
      <w:pPr>
        <w:pStyle w:val="ListParagraph"/>
        <w:numPr>
          <w:ilvl w:val="0"/>
          <w:numId w:val="34"/>
        </w:numPr>
        <w:ind w:left="851" w:hanging="284"/>
        <w:jc w:val="both"/>
        <w:rPr>
          <w:rFonts w:cs="Arial"/>
          <w:szCs w:val="24"/>
          <w:lang w:val="en-US"/>
        </w:rPr>
      </w:pPr>
      <w:r w:rsidRPr="003634DA">
        <w:rPr>
          <w:rFonts w:cs="Arial"/>
          <w:szCs w:val="24"/>
          <w:lang w:val="en-US"/>
        </w:rPr>
        <w:t>Grange Farm Regeneration phase 1</w:t>
      </w:r>
      <w:r w:rsidR="00E73F6F">
        <w:rPr>
          <w:rFonts w:cs="Arial"/>
          <w:szCs w:val="24"/>
          <w:lang w:val="en-US"/>
        </w:rPr>
        <w:t xml:space="preserve"> -</w:t>
      </w:r>
      <w:r w:rsidR="007C0B2B">
        <w:rPr>
          <w:rFonts w:cs="Arial"/>
          <w:szCs w:val="24"/>
          <w:lang w:val="en-US"/>
        </w:rPr>
        <w:t xml:space="preserve"> </w:t>
      </w:r>
      <w:r w:rsidR="002E159B">
        <w:rPr>
          <w:rFonts w:cs="Arial"/>
          <w:szCs w:val="24"/>
          <w:lang w:val="en-US"/>
        </w:rPr>
        <w:t>The f</w:t>
      </w:r>
      <w:r w:rsidRPr="003634DA">
        <w:rPr>
          <w:rFonts w:cs="Arial"/>
          <w:szCs w:val="24"/>
          <w:lang w:val="en-US"/>
        </w:rPr>
        <w:t xml:space="preserve">orecast spend </w:t>
      </w:r>
      <w:r w:rsidR="002E159B">
        <w:rPr>
          <w:rFonts w:cs="Arial"/>
          <w:szCs w:val="24"/>
          <w:lang w:val="en-US"/>
        </w:rPr>
        <w:t xml:space="preserve">of </w:t>
      </w:r>
      <w:r w:rsidR="004C352A">
        <w:rPr>
          <w:rFonts w:cs="Arial"/>
          <w:szCs w:val="24"/>
          <w:lang w:val="en-US"/>
        </w:rPr>
        <w:t>£4.4m</w:t>
      </w:r>
      <w:r w:rsidRPr="003634DA">
        <w:rPr>
          <w:rFonts w:cs="Arial"/>
          <w:szCs w:val="24"/>
          <w:lang w:val="en-US"/>
        </w:rPr>
        <w:t xml:space="preserve"> against </w:t>
      </w:r>
      <w:r w:rsidR="004C352A">
        <w:rPr>
          <w:rFonts w:cs="Arial"/>
          <w:szCs w:val="24"/>
          <w:lang w:val="en-US"/>
        </w:rPr>
        <w:t xml:space="preserve">revised </w:t>
      </w:r>
      <w:r w:rsidRPr="003634DA">
        <w:rPr>
          <w:rFonts w:cs="Arial"/>
          <w:szCs w:val="24"/>
          <w:lang w:val="en-US"/>
        </w:rPr>
        <w:t xml:space="preserve">budget </w:t>
      </w:r>
      <w:r w:rsidR="004C352A">
        <w:rPr>
          <w:rFonts w:cs="Arial"/>
          <w:szCs w:val="24"/>
          <w:lang w:val="en-US"/>
        </w:rPr>
        <w:t>of £6.220m</w:t>
      </w:r>
      <w:r w:rsidRPr="003634DA">
        <w:rPr>
          <w:rFonts w:cs="Arial"/>
          <w:szCs w:val="24"/>
          <w:lang w:val="en-US"/>
        </w:rPr>
        <w:t xml:space="preserve"> </w:t>
      </w:r>
      <w:r w:rsidR="002E159B">
        <w:rPr>
          <w:rFonts w:cs="Arial"/>
          <w:szCs w:val="24"/>
          <w:lang w:val="en-US"/>
        </w:rPr>
        <w:t>will</w:t>
      </w:r>
      <w:r w:rsidRPr="003634DA">
        <w:rPr>
          <w:rFonts w:cs="Arial"/>
          <w:szCs w:val="24"/>
          <w:lang w:val="en-US"/>
        </w:rPr>
        <w:t xml:space="preserve"> result in slippage of </w:t>
      </w:r>
      <w:r w:rsidR="004C352A">
        <w:rPr>
          <w:rFonts w:cs="Arial"/>
          <w:szCs w:val="24"/>
          <w:lang w:val="en-US"/>
        </w:rPr>
        <w:t>£1.820m</w:t>
      </w:r>
      <w:r w:rsidRPr="003634DA">
        <w:rPr>
          <w:rFonts w:cs="Arial"/>
          <w:szCs w:val="24"/>
          <w:lang w:val="en-US"/>
        </w:rPr>
        <w:t>; planning consent</w:t>
      </w:r>
      <w:r w:rsidR="00297D4C">
        <w:rPr>
          <w:rFonts w:cs="Arial"/>
          <w:szCs w:val="24"/>
          <w:lang w:val="en-US"/>
        </w:rPr>
        <w:t xml:space="preserve"> has</w:t>
      </w:r>
      <w:r w:rsidR="002E159B">
        <w:rPr>
          <w:rFonts w:cs="Arial"/>
          <w:szCs w:val="24"/>
          <w:lang w:val="en-US"/>
        </w:rPr>
        <w:t xml:space="preserve"> been successful</w:t>
      </w:r>
      <w:r w:rsidR="00ED7104">
        <w:rPr>
          <w:rFonts w:cs="Arial"/>
          <w:szCs w:val="24"/>
          <w:lang w:val="en-US"/>
        </w:rPr>
        <w:t>ly</w:t>
      </w:r>
      <w:r w:rsidR="002E159B">
        <w:rPr>
          <w:rFonts w:cs="Arial"/>
          <w:szCs w:val="24"/>
          <w:lang w:val="en-US"/>
        </w:rPr>
        <w:t xml:space="preserve"> </w:t>
      </w:r>
      <w:r w:rsidRPr="003634DA">
        <w:rPr>
          <w:rFonts w:cs="Arial"/>
          <w:szCs w:val="24"/>
          <w:lang w:val="en-US"/>
        </w:rPr>
        <w:t xml:space="preserve">obtained and </w:t>
      </w:r>
      <w:r w:rsidR="00297D4C">
        <w:rPr>
          <w:rFonts w:cs="Arial"/>
          <w:szCs w:val="24"/>
          <w:lang w:val="en-US"/>
        </w:rPr>
        <w:t xml:space="preserve">the </w:t>
      </w:r>
      <w:r w:rsidRPr="00297D4C">
        <w:rPr>
          <w:rFonts w:cs="Arial"/>
          <w:szCs w:val="24"/>
          <w:lang w:val="en-US"/>
        </w:rPr>
        <w:t xml:space="preserve">tenderer </w:t>
      </w:r>
      <w:r w:rsidR="00297D4C" w:rsidRPr="00825AC5">
        <w:rPr>
          <w:rFonts w:cs="Arial"/>
          <w:szCs w:val="24"/>
          <w:lang w:val="en-US"/>
        </w:rPr>
        <w:t xml:space="preserve">is </w:t>
      </w:r>
      <w:r w:rsidRPr="00297D4C">
        <w:rPr>
          <w:rFonts w:cs="Arial"/>
          <w:szCs w:val="24"/>
          <w:lang w:val="en-US"/>
        </w:rPr>
        <w:t>expected to start on site</w:t>
      </w:r>
      <w:r w:rsidRPr="003634DA">
        <w:rPr>
          <w:rFonts w:cs="Arial"/>
          <w:szCs w:val="24"/>
          <w:lang w:val="en-US"/>
        </w:rPr>
        <w:t>.</w:t>
      </w:r>
      <w:r w:rsidR="0045548A">
        <w:rPr>
          <w:rFonts w:cs="Arial"/>
          <w:szCs w:val="24"/>
          <w:lang w:val="en-US"/>
        </w:rPr>
        <w:t xml:space="preserve"> </w:t>
      </w:r>
      <w:r w:rsidRPr="00BF728D">
        <w:rPr>
          <w:rFonts w:cs="Arial"/>
          <w:szCs w:val="24"/>
          <w:lang w:val="en-US"/>
        </w:rPr>
        <w:t>M</w:t>
      </w:r>
      <w:r w:rsidR="00297D4C" w:rsidRPr="00825AC5">
        <w:rPr>
          <w:rFonts w:cs="Arial"/>
          <w:szCs w:val="24"/>
          <w:lang w:val="en-US"/>
        </w:rPr>
        <w:t xml:space="preserve">inistry of </w:t>
      </w:r>
      <w:r w:rsidRPr="00BF728D">
        <w:rPr>
          <w:rFonts w:cs="Arial"/>
          <w:szCs w:val="24"/>
          <w:lang w:val="en-US"/>
        </w:rPr>
        <w:t>H</w:t>
      </w:r>
      <w:r w:rsidR="00297D4C" w:rsidRPr="00825AC5">
        <w:rPr>
          <w:rFonts w:cs="Arial"/>
          <w:szCs w:val="24"/>
          <w:lang w:val="en-US"/>
        </w:rPr>
        <w:t>ousing</w:t>
      </w:r>
      <w:r w:rsidR="00D06D92" w:rsidRPr="00825AC5">
        <w:rPr>
          <w:rFonts w:cs="Arial"/>
          <w:szCs w:val="24"/>
          <w:lang w:val="en-US"/>
        </w:rPr>
        <w:t>,</w:t>
      </w:r>
      <w:r w:rsidR="00297D4C" w:rsidRPr="00825AC5">
        <w:rPr>
          <w:rFonts w:cs="Arial"/>
          <w:szCs w:val="24"/>
          <w:lang w:val="en-US"/>
        </w:rPr>
        <w:t xml:space="preserve"> </w:t>
      </w:r>
      <w:r w:rsidRPr="00BF728D">
        <w:rPr>
          <w:rFonts w:cs="Arial"/>
          <w:szCs w:val="24"/>
          <w:lang w:val="en-US"/>
        </w:rPr>
        <w:t>C</w:t>
      </w:r>
      <w:r w:rsidR="00297D4C" w:rsidRPr="00825AC5">
        <w:rPr>
          <w:rFonts w:cs="Arial"/>
          <w:szCs w:val="24"/>
          <w:lang w:val="en-US"/>
        </w:rPr>
        <w:t>ommunit</w:t>
      </w:r>
      <w:r w:rsidR="00D06D92" w:rsidRPr="00825AC5">
        <w:rPr>
          <w:rFonts w:cs="Arial"/>
          <w:szCs w:val="24"/>
          <w:lang w:val="en-US"/>
        </w:rPr>
        <w:t xml:space="preserve">ies </w:t>
      </w:r>
      <w:r w:rsidR="000F6980" w:rsidRPr="00825AC5">
        <w:rPr>
          <w:rFonts w:cs="Arial"/>
          <w:szCs w:val="24"/>
          <w:lang w:val="en-US"/>
        </w:rPr>
        <w:t>and Local</w:t>
      </w:r>
      <w:r w:rsidR="00297D4C" w:rsidRPr="00825AC5">
        <w:rPr>
          <w:rFonts w:cs="Arial"/>
          <w:szCs w:val="24"/>
          <w:lang w:val="en-US"/>
        </w:rPr>
        <w:t xml:space="preserve"> </w:t>
      </w:r>
      <w:r w:rsidR="000F6980" w:rsidRPr="00825AC5">
        <w:rPr>
          <w:rFonts w:cs="Arial"/>
          <w:szCs w:val="24"/>
          <w:lang w:val="en-US"/>
        </w:rPr>
        <w:t xml:space="preserve">Government </w:t>
      </w:r>
      <w:r w:rsidR="000F6980" w:rsidRPr="00BF728D">
        <w:rPr>
          <w:rFonts w:cs="Arial"/>
          <w:szCs w:val="24"/>
          <w:lang w:val="en-US"/>
        </w:rPr>
        <w:t>and</w:t>
      </w:r>
      <w:r w:rsidRPr="00BF728D">
        <w:rPr>
          <w:rFonts w:cs="Arial"/>
          <w:szCs w:val="24"/>
          <w:lang w:val="en-US"/>
        </w:rPr>
        <w:t xml:space="preserve"> GLA</w:t>
      </w:r>
      <w:r w:rsidRPr="003634DA">
        <w:rPr>
          <w:rFonts w:cs="Arial"/>
          <w:szCs w:val="24"/>
          <w:lang w:val="en-US"/>
        </w:rPr>
        <w:t xml:space="preserve"> have now approved the £10m Housing Infrastructure Fund (HIF) funding and the grant agreements </w:t>
      </w:r>
      <w:r w:rsidR="00206805">
        <w:rPr>
          <w:rFonts w:cs="Arial"/>
          <w:szCs w:val="24"/>
          <w:lang w:val="en-US"/>
        </w:rPr>
        <w:t>have been</w:t>
      </w:r>
      <w:r w:rsidRPr="003634DA">
        <w:rPr>
          <w:rFonts w:cs="Arial"/>
          <w:szCs w:val="24"/>
          <w:lang w:val="en-US"/>
        </w:rPr>
        <w:t xml:space="preserve"> </w:t>
      </w:r>
      <w:proofErr w:type="spellStart"/>
      <w:r w:rsidR="00A80770" w:rsidRPr="003634DA">
        <w:rPr>
          <w:rFonts w:cs="Arial"/>
          <w:szCs w:val="24"/>
          <w:lang w:val="en-US"/>
        </w:rPr>
        <w:t>finalised</w:t>
      </w:r>
      <w:proofErr w:type="spellEnd"/>
      <w:r w:rsidRPr="003634DA">
        <w:rPr>
          <w:rFonts w:cs="Arial"/>
          <w:szCs w:val="24"/>
          <w:lang w:val="en-US"/>
        </w:rPr>
        <w:t>.</w:t>
      </w:r>
    </w:p>
    <w:p w14:paraId="3BDB7D14" w14:textId="77777777" w:rsidR="00E1049C" w:rsidRPr="003634DA" w:rsidRDefault="00E1049C">
      <w:pPr>
        <w:pStyle w:val="ListParagraph"/>
        <w:ind w:left="851"/>
        <w:jc w:val="both"/>
        <w:rPr>
          <w:rFonts w:cs="Arial"/>
          <w:szCs w:val="24"/>
          <w:lang w:val="en-US"/>
        </w:rPr>
      </w:pPr>
    </w:p>
    <w:p w14:paraId="6E5A40D4" w14:textId="73EC2FBB" w:rsidR="00E1049C" w:rsidRPr="003634DA" w:rsidRDefault="00E1049C">
      <w:pPr>
        <w:pStyle w:val="ListParagraph"/>
        <w:numPr>
          <w:ilvl w:val="0"/>
          <w:numId w:val="34"/>
        </w:numPr>
        <w:ind w:left="851" w:hanging="284"/>
        <w:jc w:val="both"/>
        <w:rPr>
          <w:rFonts w:cs="Arial"/>
          <w:szCs w:val="24"/>
          <w:lang w:val="en-US"/>
        </w:rPr>
      </w:pPr>
      <w:r w:rsidRPr="003634DA">
        <w:rPr>
          <w:rFonts w:cs="Arial"/>
          <w:szCs w:val="24"/>
          <w:lang w:val="en-US"/>
        </w:rPr>
        <w:t xml:space="preserve">Infill </w:t>
      </w:r>
      <w:proofErr w:type="spellStart"/>
      <w:r w:rsidRPr="003634DA">
        <w:rPr>
          <w:rFonts w:cs="Arial"/>
          <w:szCs w:val="24"/>
          <w:lang w:val="en-US"/>
        </w:rPr>
        <w:t>programme</w:t>
      </w:r>
      <w:proofErr w:type="spellEnd"/>
      <w:r w:rsidR="00E73F6F">
        <w:rPr>
          <w:rFonts w:cs="Arial"/>
          <w:szCs w:val="24"/>
          <w:lang w:val="en-US"/>
        </w:rPr>
        <w:t xml:space="preserve"> -</w:t>
      </w:r>
      <w:r w:rsidRPr="003634DA">
        <w:rPr>
          <w:rFonts w:cs="Arial"/>
          <w:szCs w:val="24"/>
          <w:lang w:val="en-US"/>
        </w:rPr>
        <w:t xml:space="preserve"> </w:t>
      </w:r>
      <w:r w:rsidR="002E159B">
        <w:rPr>
          <w:rFonts w:cs="Arial"/>
          <w:szCs w:val="24"/>
          <w:lang w:val="en-US"/>
        </w:rPr>
        <w:t xml:space="preserve">The </w:t>
      </w:r>
      <w:r w:rsidRPr="003634DA">
        <w:rPr>
          <w:rFonts w:cs="Arial"/>
          <w:szCs w:val="24"/>
          <w:lang w:val="en-US"/>
        </w:rPr>
        <w:t xml:space="preserve">estimated spend </w:t>
      </w:r>
      <w:r w:rsidR="002E159B">
        <w:rPr>
          <w:rFonts w:cs="Arial"/>
          <w:szCs w:val="24"/>
          <w:lang w:val="en-US"/>
        </w:rPr>
        <w:t xml:space="preserve">on this project is </w:t>
      </w:r>
      <w:r w:rsidR="004C352A">
        <w:rPr>
          <w:rFonts w:cs="Arial"/>
          <w:szCs w:val="24"/>
          <w:lang w:val="en-US"/>
        </w:rPr>
        <w:t>£1.603m</w:t>
      </w:r>
      <w:r w:rsidRPr="003634DA">
        <w:rPr>
          <w:rFonts w:cs="Arial"/>
          <w:szCs w:val="24"/>
          <w:lang w:val="en-US"/>
        </w:rPr>
        <w:t xml:space="preserve"> against </w:t>
      </w:r>
      <w:r w:rsidR="002E159B">
        <w:rPr>
          <w:rFonts w:cs="Arial"/>
          <w:szCs w:val="24"/>
          <w:lang w:val="en-US"/>
        </w:rPr>
        <w:t xml:space="preserve">a </w:t>
      </w:r>
      <w:r w:rsidR="004C352A">
        <w:rPr>
          <w:rFonts w:cs="Arial"/>
          <w:szCs w:val="24"/>
          <w:lang w:val="en-US"/>
        </w:rPr>
        <w:t xml:space="preserve">revised </w:t>
      </w:r>
      <w:r w:rsidR="006E1B96" w:rsidRPr="003634DA">
        <w:rPr>
          <w:rFonts w:cs="Arial"/>
          <w:szCs w:val="24"/>
          <w:lang w:val="en-US"/>
        </w:rPr>
        <w:t xml:space="preserve">budget </w:t>
      </w:r>
      <w:r w:rsidR="002E159B">
        <w:rPr>
          <w:rFonts w:cs="Arial"/>
          <w:szCs w:val="24"/>
          <w:lang w:val="en-US"/>
        </w:rPr>
        <w:t xml:space="preserve">of </w:t>
      </w:r>
      <w:r w:rsidR="006E1B96" w:rsidRPr="003634DA">
        <w:rPr>
          <w:rFonts w:cs="Arial"/>
          <w:szCs w:val="24"/>
          <w:lang w:val="en-US"/>
        </w:rPr>
        <w:t>£</w:t>
      </w:r>
      <w:r w:rsidR="004C352A">
        <w:rPr>
          <w:rFonts w:cs="Arial"/>
          <w:szCs w:val="24"/>
          <w:lang w:val="en-US"/>
        </w:rPr>
        <w:t>1.775m</w:t>
      </w:r>
      <w:r w:rsidR="00DB0EA3">
        <w:rPr>
          <w:rFonts w:cs="Arial"/>
          <w:szCs w:val="24"/>
          <w:lang w:val="en-US"/>
        </w:rPr>
        <w:t xml:space="preserve">. </w:t>
      </w:r>
      <w:r w:rsidR="00297D4C">
        <w:rPr>
          <w:rFonts w:cs="Arial"/>
          <w:szCs w:val="24"/>
          <w:lang w:val="en-US"/>
        </w:rPr>
        <w:t>The budget</w:t>
      </w:r>
      <w:r w:rsidR="00DB0EA3">
        <w:rPr>
          <w:rFonts w:cs="Arial"/>
          <w:szCs w:val="24"/>
          <w:lang w:val="en-US"/>
        </w:rPr>
        <w:t xml:space="preserve"> </w:t>
      </w:r>
      <w:r w:rsidR="00ED7104">
        <w:rPr>
          <w:rFonts w:cs="Arial"/>
          <w:szCs w:val="24"/>
          <w:lang w:val="en-US"/>
        </w:rPr>
        <w:t>variance of £172k will</w:t>
      </w:r>
      <w:r w:rsidR="00DB0EA3">
        <w:rPr>
          <w:rFonts w:cs="Arial"/>
          <w:szCs w:val="24"/>
          <w:lang w:val="en-US"/>
        </w:rPr>
        <w:t xml:space="preserve"> slip to 2020/21 to b</w:t>
      </w:r>
      <w:r w:rsidR="00E8183F">
        <w:rPr>
          <w:rFonts w:cs="Arial"/>
          <w:szCs w:val="24"/>
          <w:lang w:val="en-US"/>
        </w:rPr>
        <w:t xml:space="preserve">e </w:t>
      </w:r>
      <w:proofErr w:type="spellStart"/>
      <w:r w:rsidR="00E8183F">
        <w:rPr>
          <w:rFonts w:cs="Arial"/>
          <w:szCs w:val="24"/>
          <w:lang w:val="en-US"/>
        </w:rPr>
        <w:t>utili</w:t>
      </w:r>
      <w:r w:rsidR="00DB0EA3">
        <w:rPr>
          <w:rFonts w:cs="Arial"/>
          <w:szCs w:val="24"/>
          <w:lang w:val="en-US"/>
        </w:rPr>
        <w:t>s</w:t>
      </w:r>
      <w:r w:rsidR="00E8183F">
        <w:rPr>
          <w:rFonts w:cs="Arial"/>
          <w:szCs w:val="24"/>
          <w:lang w:val="en-US"/>
        </w:rPr>
        <w:t>ed</w:t>
      </w:r>
      <w:proofErr w:type="spellEnd"/>
      <w:r w:rsidR="00E8183F">
        <w:rPr>
          <w:rFonts w:cs="Arial"/>
          <w:szCs w:val="24"/>
          <w:lang w:val="en-US"/>
        </w:rPr>
        <w:t xml:space="preserve"> against wider </w:t>
      </w:r>
      <w:r w:rsidR="00A658B5" w:rsidRPr="00A658B5">
        <w:rPr>
          <w:rFonts w:cs="Arial"/>
          <w:szCs w:val="24"/>
          <w:lang w:val="en-US"/>
        </w:rPr>
        <w:t>Buildi</w:t>
      </w:r>
      <w:r w:rsidR="00A658B5">
        <w:rPr>
          <w:rFonts w:cs="Arial"/>
          <w:szCs w:val="24"/>
          <w:lang w:val="en-US"/>
        </w:rPr>
        <w:t>ng Council Houses for Londoners</w:t>
      </w:r>
      <w:r w:rsidR="00A658B5" w:rsidRPr="00A658B5">
        <w:rPr>
          <w:rFonts w:cs="Arial"/>
          <w:szCs w:val="24"/>
          <w:lang w:val="en-US"/>
        </w:rPr>
        <w:t xml:space="preserve"> (</w:t>
      </w:r>
      <w:proofErr w:type="spellStart"/>
      <w:r w:rsidR="00E8183F" w:rsidRPr="00A658B5">
        <w:rPr>
          <w:rFonts w:cs="Arial"/>
          <w:szCs w:val="24"/>
          <w:lang w:val="en-US"/>
        </w:rPr>
        <w:t>BCHfL</w:t>
      </w:r>
      <w:proofErr w:type="spellEnd"/>
      <w:r w:rsidR="00A658B5">
        <w:rPr>
          <w:rFonts w:cs="Arial"/>
          <w:szCs w:val="24"/>
          <w:lang w:val="en-US"/>
        </w:rPr>
        <w:t>)</w:t>
      </w:r>
      <w:r w:rsidR="00E8183F">
        <w:rPr>
          <w:rFonts w:cs="Arial"/>
          <w:szCs w:val="24"/>
          <w:lang w:val="en-US"/>
        </w:rPr>
        <w:t xml:space="preserve"> </w:t>
      </w:r>
      <w:proofErr w:type="spellStart"/>
      <w:r w:rsidR="00E8183F">
        <w:rPr>
          <w:rFonts w:cs="Arial"/>
          <w:szCs w:val="24"/>
          <w:lang w:val="en-US"/>
        </w:rPr>
        <w:t>programme</w:t>
      </w:r>
      <w:proofErr w:type="spellEnd"/>
      <w:r w:rsidR="00E8183F">
        <w:rPr>
          <w:rFonts w:cs="Arial"/>
          <w:szCs w:val="24"/>
          <w:lang w:val="en-US"/>
        </w:rPr>
        <w:t>.</w:t>
      </w:r>
    </w:p>
    <w:p w14:paraId="1775F9AF" w14:textId="77777777" w:rsidR="00E1049C" w:rsidRPr="003634DA" w:rsidRDefault="00E1049C">
      <w:pPr>
        <w:pStyle w:val="ListParagraph"/>
        <w:ind w:left="851"/>
        <w:jc w:val="both"/>
        <w:rPr>
          <w:rFonts w:cs="Arial"/>
          <w:szCs w:val="24"/>
          <w:lang w:val="en-US"/>
        </w:rPr>
      </w:pPr>
    </w:p>
    <w:p w14:paraId="7104BCE1" w14:textId="6B44CD66" w:rsidR="00F475B4" w:rsidRPr="00BF728D" w:rsidRDefault="00DB0EA3">
      <w:pPr>
        <w:pStyle w:val="ListParagraph"/>
        <w:numPr>
          <w:ilvl w:val="0"/>
          <w:numId w:val="34"/>
        </w:numPr>
        <w:ind w:left="851" w:hanging="284"/>
        <w:jc w:val="both"/>
        <w:rPr>
          <w:rFonts w:cs="Arial"/>
          <w:szCs w:val="24"/>
          <w:lang w:val="en-US"/>
        </w:rPr>
      </w:pPr>
      <w:r w:rsidRPr="00BF728D">
        <w:rPr>
          <w:rFonts w:cs="Arial"/>
          <w:szCs w:val="24"/>
          <w:lang w:val="en-US"/>
        </w:rPr>
        <w:t xml:space="preserve">There is a forecast spend of £8.208m </w:t>
      </w:r>
      <w:r w:rsidR="00E1049C" w:rsidRPr="00BF728D">
        <w:rPr>
          <w:rFonts w:cs="Arial"/>
          <w:szCs w:val="24"/>
          <w:lang w:val="en-US"/>
        </w:rPr>
        <w:t xml:space="preserve">against </w:t>
      </w:r>
      <w:r w:rsidRPr="00BF728D">
        <w:rPr>
          <w:rFonts w:cs="Arial"/>
          <w:szCs w:val="24"/>
          <w:lang w:val="en-US"/>
        </w:rPr>
        <w:t xml:space="preserve">the </w:t>
      </w:r>
      <w:r w:rsidR="00E1049C" w:rsidRPr="00BF728D">
        <w:rPr>
          <w:rFonts w:cs="Arial"/>
          <w:szCs w:val="24"/>
          <w:lang w:val="en-US"/>
        </w:rPr>
        <w:t>budget</w:t>
      </w:r>
      <w:r w:rsidRPr="00BF728D">
        <w:rPr>
          <w:rFonts w:cs="Arial"/>
          <w:szCs w:val="24"/>
          <w:lang w:val="en-US"/>
        </w:rPr>
        <w:t xml:space="preserve"> </w:t>
      </w:r>
      <w:r w:rsidR="000F6980" w:rsidRPr="00BF728D">
        <w:rPr>
          <w:rFonts w:cs="Arial"/>
          <w:szCs w:val="24"/>
          <w:lang w:val="en-US"/>
        </w:rPr>
        <w:t>of £</w:t>
      </w:r>
      <w:r w:rsidR="00E1049C" w:rsidRPr="00BF728D">
        <w:rPr>
          <w:rFonts w:cs="Arial"/>
          <w:szCs w:val="24"/>
          <w:lang w:val="en-US"/>
        </w:rPr>
        <w:t xml:space="preserve">7.696m </w:t>
      </w:r>
      <w:r w:rsidRPr="00BF728D">
        <w:rPr>
          <w:rFonts w:cs="Arial"/>
          <w:szCs w:val="24"/>
          <w:lang w:val="en-US"/>
        </w:rPr>
        <w:t xml:space="preserve">on </w:t>
      </w:r>
      <w:r w:rsidR="00ED7104">
        <w:rPr>
          <w:rFonts w:cs="Arial"/>
          <w:szCs w:val="24"/>
          <w:lang w:val="en-US"/>
        </w:rPr>
        <w:t xml:space="preserve">the </w:t>
      </w:r>
      <w:proofErr w:type="spellStart"/>
      <w:r w:rsidRPr="00BF728D">
        <w:rPr>
          <w:rFonts w:cs="Arial"/>
          <w:szCs w:val="24"/>
          <w:lang w:val="en-US"/>
        </w:rPr>
        <w:t>Gayton</w:t>
      </w:r>
      <w:proofErr w:type="spellEnd"/>
      <w:r w:rsidRPr="00BF728D">
        <w:rPr>
          <w:rFonts w:cs="Arial"/>
          <w:szCs w:val="24"/>
          <w:lang w:val="en-US"/>
        </w:rPr>
        <w:t xml:space="preserve"> Road project, this will result in a budget p</w:t>
      </w:r>
      <w:r w:rsidR="00E1049C" w:rsidRPr="00BF728D">
        <w:rPr>
          <w:rFonts w:cs="Arial"/>
          <w:szCs w:val="24"/>
          <w:lang w:val="en-US"/>
        </w:rPr>
        <w:t>ressure</w:t>
      </w:r>
      <w:r w:rsidRPr="00BF728D">
        <w:rPr>
          <w:rFonts w:cs="Arial"/>
          <w:szCs w:val="24"/>
          <w:lang w:val="en-US"/>
        </w:rPr>
        <w:t xml:space="preserve"> of</w:t>
      </w:r>
      <w:r w:rsidR="00E1049C" w:rsidRPr="00BF728D">
        <w:rPr>
          <w:rFonts w:cs="Arial"/>
          <w:szCs w:val="24"/>
          <w:lang w:val="en-US"/>
        </w:rPr>
        <w:t xml:space="preserve"> £</w:t>
      </w:r>
      <w:r w:rsidR="000D7E6E" w:rsidRPr="00BF728D">
        <w:rPr>
          <w:rFonts w:cs="Arial"/>
          <w:szCs w:val="24"/>
          <w:lang w:val="en-US"/>
        </w:rPr>
        <w:t>512k</w:t>
      </w:r>
      <w:r w:rsidR="00E1049C" w:rsidRPr="00BF728D">
        <w:rPr>
          <w:rFonts w:cs="Arial"/>
          <w:szCs w:val="24"/>
          <w:lang w:val="en-US"/>
        </w:rPr>
        <w:t>; expenditure</w:t>
      </w:r>
      <w:r w:rsidRPr="00BF728D">
        <w:rPr>
          <w:rFonts w:cs="Arial"/>
          <w:szCs w:val="24"/>
          <w:lang w:val="en-US"/>
        </w:rPr>
        <w:t xml:space="preserve"> is</w:t>
      </w:r>
      <w:r w:rsidR="00E1049C" w:rsidRPr="00BF728D">
        <w:rPr>
          <w:rFonts w:cs="Arial"/>
          <w:szCs w:val="24"/>
          <w:lang w:val="en-US"/>
        </w:rPr>
        <w:t xml:space="preserve"> based on </w:t>
      </w:r>
      <w:r w:rsidRPr="00BF728D">
        <w:rPr>
          <w:rFonts w:cs="Arial"/>
          <w:szCs w:val="24"/>
          <w:lang w:val="en-US"/>
        </w:rPr>
        <w:t xml:space="preserve">the </w:t>
      </w:r>
      <w:r w:rsidR="00E1049C" w:rsidRPr="00BF728D">
        <w:rPr>
          <w:rFonts w:cs="Arial"/>
          <w:szCs w:val="24"/>
          <w:lang w:val="en-US"/>
        </w:rPr>
        <w:t xml:space="preserve">revised valuation and takes account of HRA funding already provided; additional capital receipt to General Fund </w:t>
      </w:r>
      <w:r w:rsidR="00F616AD" w:rsidRPr="00BF728D">
        <w:rPr>
          <w:rFonts w:cs="Arial"/>
          <w:szCs w:val="24"/>
          <w:lang w:val="en-US"/>
        </w:rPr>
        <w:t xml:space="preserve">will result in an adjustment </w:t>
      </w:r>
      <w:r w:rsidR="00BF728D" w:rsidRPr="00825AC5">
        <w:rPr>
          <w:rFonts w:cs="Arial"/>
          <w:szCs w:val="24"/>
          <w:lang w:val="en-US"/>
        </w:rPr>
        <w:t xml:space="preserve">to the respective capital financing requirement of both funds to reflect the change in the underlying need to borrow associated with the asset </w:t>
      </w:r>
      <w:r w:rsidR="000F6980" w:rsidRPr="00825AC5">
        <w:rPr>
          <w:rFonts w:cs="Arial"/>
          <w:szCs w:val="24"/>
          <w:lang w:val="en-US"/>
        </w:rPr>
        <w:t>transfer</w:t>
      </w:r>
      <w:r w:rsidR="00BF728D" w:rsidRPr="00825AC5">
        <w:rPr>
          <w:rFonts w:cs="Arial"/>
          <w:szCs w:val="24"/>
          <w:lang w:val="en-US"/>
        </w:rPr>
        <w:t>. This will result in a neutral overall impact to the council.</w:t>
      </w:r>
    </w:p>
    <w:p w14:paraId="09C82A8E" w14:textId="77777777" w:rsidR="00E1049C" w:rsidRPr="00F616AD" w:rsidRDefault="00E1049C">
      <w:pPr>
        <w:pStyle w:val="ListParagraph"/>
        <w:ind w:left="851"/>
        <w:jc w:val="both"/>
        <w:rPr>
          <w:rFonts w:cs="Arial"/>
          <w:szCs w:val="24"/>
          <w:lang w:val="en-US"/>
        </w:rPr>
      </w:pPr>
    </w:p>
    <w:p w14:paraId="65BD0798" w14:textId="480EFBB4" w:rsidR="00555A6E" w:rsidRPr="003634DA" w:rsidRDefault="00E1049C">
      <w:pPr>
        <w:pStyle w:val="ListParagraph"/>
        <w:numPr>
          <w:ilvl w:val="0"/>
          <w:numId w:val="34"/>
        </w:numPr>
        <w:ind w:left="851" w:hanging="284"/>
        <w:jc w:val="both"/>
        <w:rPr>
          <w:rFonts w:cs="Arial"/>
          <w:szCs w:val="24"/>
          <w:lang w:val="en-US"/>
        </w:rPr>
      </w:pPr>
      <w:r w:rsidRPr="003634DA">
        <w:rPr>
          <w:rFonts w:cs="Arial"/>
          <w:szCs w:val="24"/>
          <w:lang w:val="en-US"/>
        </w:rPr>
        <w:t>Other new build schemes</w:t>
      </w:r>
      <w:r w:rsidR="00E73F6F">
        <w:rPr>
          <w:rFonts w:cs="Arial"/>
          <w:szCs w:val="24"/>
          <w:lang w:val="en-US"/>
        </w:rPr>
        <w:t xml:space="preserve"> -</w:t>
      </w:r>
      <w:r w:rsidRPr="003634DA">
        <w:rPr>
          <w:rFonts w:cs="Arial"/>
          <w:szCs w:val="24"/>
          <w:lang w:val="en-US"/>
        </w:rPr>
        <w:t xml:space="preserve"> broader spectrum of schemes </w:t>
      </w:r>
      <w:r w:rsidR="00A658B5">
        <w:rPr>
          <w:rFonts w:cs="Arial"/>
          <w:szCs w:val="24"/>
          <w:lang w:val="en-US"/>
        </w:rPr>
        <w:t xml:space="preserve">are </w:t>
      </w:r>
      <w:r w:rsidRPr="003634DA">
        <w:rPr>
          <w:rFonts w:cs="Arial"/>
          <w:szCs w:val="24"/>
          <w:lang w:val="en-US"/>
        </w:rPr>
        <w:t>in line with Mayor of London’s Building Council Houses for Londoners (</w:t>
      </w:r>
      <w:proofErr w:type="spellStart"/>
      <w:r w:rsidRPr="003634DA">
        <w:rPr>
          <w:rFonts w:cs="Arial"/>
          <w:szCs w:val="24"/>
          <w:lang w:val="en-US"/>
        </w:rPr>
        <w:t>BCHfL</w:t>
      </w:r>
      <w:proofErr w:type="spellEnd"/>
      <w:r w:rsidRPr="003634DA">
        <w:rPr>
          <w:rFonts w:cs="Arial"/>
          <w:szCs w:val="24"/>
          <w:lang w:val="en-US"/>
        </w:rPr>
        <w:t xml:space="preserve">) </w:t>
      </w:r>
      <w:proofErr w:type="spellStart"/>
      <w:r w:rsidRPr="003634DA">
        <w:rPr>
          <w:rFonts w:cs="Arial"/>
          <w:szCs w:val="24"/>
          <w:lang w:val="en-US"/>
        </w:rPr>
        <w:t>programme</w:t>
      </w:r>
      <w:proofErr w:type="spellEnd"/>
      <w:r w:rsidRPr="003634DA">
        <w:rPr>
          <w:rFonts w:cs="Arial"/>
          <w:szCs w:val="24"/>
          <w:lang w:val="en-US"/>
        </w:rPr>
        <w:t xml:space="preserve">, </w:t>
      </w:r>
      <w:r w:rsidR="00A658B5">
        <w:rPr>
          <w:rFonts w:cs="Arial"/>
          <w:szCs w:val="24"/>
          <w:lang w:val="en-US"/>
        </w:rPr>
        <w:t xml:space="preserve">it is </w:t>
      </w:r>
      <w:r w:rsidRPr="003634DA">
        <w:rPr>
          <w:rFonts w:cs="Arial"/>
          <w:szCs w:val="24"/>
          <w:lang w:val="en-US"/>
        </w:rPr>
        <w:t>estimate</w:t>
      </w:r>
      <w:r w:rsidR="00A658B5">
        <w:rPr>
          <w:rFonts w:cs="Arial"/>
          <w:szCs w:val="24"/>
          <w:lang w:val="en-US"/>
        </w:rPr>
        <w:t xml:space="preserve">d that £1.096m will be </w:t>
      </w:r>
      <w:r w:rsidRPr="003634DA">
        <w:rPr>
          <w:rFonts w:cs="Arial"/>
          <w:szCs w:val="24"/>
          <w:lang w:val="en-US"/>
        </w:rPr>
        <w:t>spen</w:t>
      </w:r>
      <w:r w:rsidR="00ED7104">
        <w:rPr>
          <w:rFonts w:cs="Arial"/>
          <w:szCs w:val="24"/>
          <w:lang w:val="en-US"/>
        </w:rPr>
        <w:t>t</w:t>
      </w:r>
      <w:r w:rsidRPr="003634DA">
        <w:rPr>
          <w:rFonts w:cs="Arial"/>
          <w:szCs w:val="24"/>
          <w:lang w:val="en-US"/>
        </w:rPr>
        <w:t xml:space="preserve"> against </w:t>
      </w:r>
      <w:r w:rsidR="00292AEE">
        <w:rPr>
          <w:rFonts w:cs="Arial"/>
          <w:szCs w:val="24"/>
          <w:lang w:val="en-US"/>
        </w:rPr>
        <w:t>the</w:t>
      </w:r>
      <w:r w:rsidR="00A658B5">
        <w:rPr>
          <w:rFonts w:cs="Arial"/>
          <w:szCs w:val="24"/>
          <w:lang w:val="en-US"/>
        </w:rPr>
        <w:t xml:space="preserve"> </w:t>
      </w:r>
      <w:r w:rsidR="00292AEE">
        <w:rPr>
          <w:rFonts w:cs="Arial"/>
          <w:szCs w:val="24"/>
          <w:lang w:val="en-US"/>
        </w:rPr>
        <w:t>b</w:t>
      </w:r>
      <w:r w:rsidRPr="003634DA">
        <w:rPr>
          <w:rFonts w:cs="Arial"/>
          <w:szCs w:val="24"/>
          <w:lang w:val="en-US"/>
        </w:rPr>
        <w:t>udget</w:t>
      </w:r>
      <w:r w:rsidR="00ED7104">
        <w:rPr>
          <w:rFonts w:cs="Arial"/>
          <w:szCs w:val="24"/>
          <w:lang w:val="en-US"/>
        </w:rPr>
        <w:t xml:space="preserve"> of</w:t>
      </w:r>
      <w:r w:rsidRPr="003634DA">
        <w:rPr>
          <w:rFonts w:cs="Arial"/>
          <w:szCs w:val="24"/>
          <w:lang w:val="en-US"/>
        </w:rPr>
        <w:t xml:space="preserve"> £6.754m resulting in slippage of </w:t>
      </w:r>
      <w:r w:rsidR="00E8183F">
        <w:rPr>
          <w:rFonts w:cs="Arial"/>
          <w:szCs w:val="24"/>
          <w:lang w:val="en-US"/>
        </w:rPr>
        <w:t>£5.658m</w:t>
      </w:r>
      <w:r w:rsidR="00A658B5">
        <w:rPr>
          <w:rFonts w:cs="Arial"/>
          <w:szCs w:val="24"/>
          <w:lang w:val="en-US"/>
        </w:rPr>
        <w:t xml:space="preserve"> which is </w:t>
      </w:r>
      <w:r w:rsidRPr="003634DA">
        <w:rPr>
          <w:rFonts w:cs="Arial"/>
          <w:szCs w:val="24"/>
          <w:lang w:val="en-US"/>
        </w:rPr>
        <w:t>predominately arising from re</w:t>
      </w:r>
      <w:r w:rsidR="00802D8D">
        <w:rPr>
          <w:rFonts w:cs="Arial"/>
          <w:szCs w:val="24"/>
          <w:lang w:val="en-US"/>
        </w:rPr>
        <w:t>-</w:t>
      </w:r>
      <w:r w:rsidRPr="003634DA">
        <w:rPr>
          <w:rFonts w:cs="Arial"/>
          <w:szCs w:val="24"/>
          <w:lang w:val="en-US"/>
        </w:rPr>
        <w:t xml:space="preserve">profiling of </w:t>
      </w:r>
      <w:proofErr w:type="spellStart"/>
      <w:r w:rsidRPr="003634DA">
        <w:rPr>
          <w:rFonts w:cs="Arial"/>
          <w:szCs w:val="24"/>
          <w:lang w:val="en-US"/>
        </w:rPr>
        <w:t>Chichester</w:t>
      </w:r>
      <w:proofErr w:type="spellEnd"/>
      <w:r w:rsidRPr="003634DA">
        <w:rPr>
          <w:rFonts w:cs="Arial"/>
          <w:szCs w:val="24"/>
          <w:lang w:val="en-US"/>
        </w:rPr>
        <w:t xml:space="preserve"> </w:t>
      </w:r>
      <w:r w:rsidR="000D7E6E">
        <w:rPr>
          <w:rFonts w:cs="Arial"/>
          <w:szCs w:val="24"/>
          <w:lang w:val="en-US"/>
        </w:rPr>
        <w:t>C</w:t>
      </w:r>
      <w:r w:rsidR="000D7E6E" w:rsidRPr="003634DA">
        <w:rPr>
          <w:rFonts w:cs="Arial"/>
          <w:szCs w:val="24"/>
          <w:lang w:val="en-US"/>
        </w:rPr>
        <w:t xml:space="preserve">ourt </w:t>
      </w:r>
      <w:r w:rsidRPr="003634DA">
        <w:rPr>
          <w:rFonts w:cs="Arial"/>
          <w:szCs w:val="24"/>
          <w:lang w:val="en-US"/>
        </w:rPr>
        <w:t xml:space="preserve">following appointment of </w:t>
      </w:r>
      <w:r w:rsidR="004E7D57">
        <w:rPr>
          <w:rFonts w:cs="Arial"/>
          <w:szCs w:val="24"/>
          <w:lang w:val="en-US"/>
        </w:rPr>
        <w:t xml:space="preserve">a </w:t>
      </w:r>
      <w:r w:rsidRPr="003634DA">
        <w:rPr>
          <w:rFonts w:cs="Arial"/>
          <w:szCs w:val="24"/>
          <w:lang w:val="en-US"/>
        </w:rPr>
        <w:t>contractor.</w:t>
      </w:r>
    </w:p>
    <w:p w14:paraId="556A1ECC" w14:textId="77777777" w:rsidR="00555A6E" w:rsidRPr="003634DA" w:rsidRDefault="00555A6E">
      <w:pPr>
        <w:pStyle w:val="ListParagraph"/>
        <w:ind w:left="851"/>
        <w:jc w:val="both"/>
        <w:rPr>
          <w:rFonts w:cs="Arial"/>
          <w:szCs w:val="24"/>
          <w:lang w:val="en-US"/>
        </w:rPr>
      </w:pPr>
    </w:p>
    <w:p w14:paraId="39C4F246" w14:textId="01DAF499" w:rsidR="006D376F" w:rsidRDefault="006D376F">
      <w:pPr>
        <w:pStyle w:val="ListParagraph"/>
        <w:numPr>
          <w:ilvl w:val="0"/>
          <w:numId w:val="22"/>
        </w:numPr>
        <w:tabs>
          <w:tab w:val="left" w:pos="567"/>
        </w:tabs>
        <w:ind w:left="567" w:hanging="567"/>
        <w:jc w:val="both"/>
        <w:rPr>
          <w:rFonts w:cs="Arial"/>
          <w:szCs w:val="24"/>
        </w:rPr>
      </w:pPr>
      <w:r w:rsidRPr="007C0D59">
        <w:rPr>
          <w:rFonts w:cs="Arial"/>
          <w:szCs w:val="24"/>
        </w:rPr>
        <w:t xml:space="preserve">Slippage on new build and regeneration schemes, resulting mainly from delays in securing necessary external funding and planning consents, will result in delays in associated rental streams and new build units for use as social and affordable housing as well as in mitigating the impact of homelessness on the Council’s General Fund. </w:t>
      </w:r>
      <w:r w:rsidR="00ED7104">
        <w:rPr>
          <w:rFonts w:cs="Arial"/>
          <w:szCs w:val="24"/>
        </w:rPr>
        <w:t xml:space="preserve">The </w:t>
      </w:r>
      <w:r w:rsidRPr="007C0D59">
        <w:rPr>
          <w:rFonts w:cs="Arial"/>
          <w:szCs w:val="24"/>
        </w:rPr>
        <w:t>HRA Business Plan</w:t>
      </w:r>
      <w:r w:rsidR="00981F8F">
        <w:rPr>
          <w:rFonts w:cs="Arial"/>
          <w:szCs w:val="24"/>
        </w:rPr>
        <w:t xml:space="preserve"> reported to Cabinet</w:t>
      </w:r>
      <w:r w:rsidR="00ED7104">
        <w:rPr>
          <w:rFonts w:cs="Arial"/>
          <w:szCs w:val="24"/>
        </w:rPr>
        <w:t xml:space="preserve"> on</w:t>
      </w:r>
      <w:r w:rsidR="00981F8F">
        <w:rPr>
          <w:rFonts w:cs="Arial"/>
          <w:szCs w:val="24"/>
        </w:rPr>
        <w:t xml:space="preserve"> 12th September 2019</w:t>
      </w:r>
      <w:r w:rsidRPr="007C0D59">
        <w:rPr>
          <w:rFonts w:cs="Arial"/>
          <w:szCs w:val="24"/>
        </w:rPr>
        <w:t xml:space="preserve">, </w:t>
      </w:r>
      <w:r w:rsidR="00981F8F">
        <w:rPr>
          <w:rFonts w:cs="Arial"/>
          <w:szCs w:val="24"/>
        </w:rPr>
        <w:t xml:space="preserve">takes account of these </w:t>
      </w:r>
      <w:r w:rsidR="006E1B96">
        <w:rPr>
          <w:rFonts w:cs="Arial"/>
          <w:szCs w:val="24"/>
        </w:rPr>
        <w:t>updated</w:t>
      </w:r>
      <w:r w:rsidR="00981F8F">
        <w:rPr>
          <w:rFonts w:cs="Arial"/>
          <w:szCs w:val="24"/>
        </w:rPr>
        <w:t xml:space="preserve"> profiles and </w:t>
      </w:r>
      <w:r w:rsidRPr="007C0D59">
        <w:rPr>
          <w:rFonts w:cs="Arial"/>
          <w:szCs w:val="24"/>
        </w:rPr>
        <w:t>sets out the longer term financial position based on</w:t>
      </w:r>
      <w:r w:rsidR="00ED7104">
        <w:rPr>
          <w:rFonts w:cs="Arial"/>
          <w:szCs w:val="24"/>
        </w:rPr>
        <w:t xml:space="preserve"> a</w:t>
      </w:r>
      <w:r w:rsidRPr="007C0D59">
        <w:rPr>
          <w:rFonts w:cs="Arial"/>
          <w:szCs w:val="24"/>
        </w:rPr>
        <w:t xml:space="preserve"> range of assumptions</w:t>
      </w:r>
      <w:r w:rsidR="00981F8F">
        <w:rPr>
          <w:rFonts w:cs="Arial"/>
          <w:szCs w:val="24"/>
        </w:rPr>
        <w:t xml:space="preserve"> and will be used as a basis for constructing</w:t>
      </w:r>
      <w:r w:rsidR="00ED7104">
        <w:rPr>
          <w:rFonts w:cs="Arial"/>
          <w:szCs w:val="24"/>
        </w:rPr>
        <w:t xml:space="preserve"> the</w:t>
      </w:r>
      <w:r w:rsidR="00981F8F">
        <w:rPr>
          <w:rFonts w:cs="Arial"/>
          <w:szCs w:val="24"/>
        </w:rPr>
        <w:t xml:space="preserve"> budgets for 2020/21.</w:t>
      </w:r>
      <w:r w:rsidRPr="007C0D59">
        <w:rPr>
          <w:rFonts w:cs="Arial"/>
          <w:szCs w:val="24"/>
        </w:rPr>
        <w:t xml:space="preserve"> </w:t>
      </w:r>
      <w:r w:rsidR="00981F8F">
        <w:rPr>
          <w:rFonts w:cs="Arial"/>
          <w:szCs w:val="24"/>
        </w:rPr>
        <w:t xml:space="preserve"> </w:t>
      </w:r>
    </w:p>
    <w:p w14:paraId="13CF67F4" w14:textId="77777777" w:rsidR="00022E80" w:rsidRPr="0011774B" w:rsidRDefault="00022E80" w:rsidP="00825AC5">
      <w:pPr>
        <w:tabs>
          <w:tab w:val="left" w:pos="567"/>
        </w:tabs>
        <w:jc w:val="both"/>
        <w:rPr>
          <w:rFonts w:cs="Arial"/>
          <w:szCs w:val="24"/>
        </w:rPr>
      </w:pPr>
    </w:p>
    <w:p w14:paraId="3E9FAD1A" w14:textId="47E63AA5" w:rsidR="006D376F" w:rsidRPr="007C0D59" w:rsidRDefault="006D376F">
      <w:pPr>
        <w:tabs>
          <w:tab w:val="left" w:pos="567"/>
        </w:tabs>
        <w:ind w:firstLine="567"/>
        <w:jc w:val="both"/>
        <w:rPr>
          <w:rFonts w:cs="Arial"/>
          <w:b/>
          <w:szCs w:val="24"/>
          <w:u w:val="single"/>
        </w:rPr>
      </w:pPr>
      <w:r w:rsidRPr="007C0D59">
        <w:rPr>
          <w:rFonts w:cs="Arial"/>
          <w:b/>
          <w:szCs w:val="24"/>
          <w:u w:val="single"/>
        </w:rPr>
        <w:t>Amendment to the Capital Programme</w:t>
      </w:r>
    </w:p>
    <w:p w14:paraId="207FB192" w14:textId="6B2D77B7" w:rsidR="006D376F" w:rsidRDefault="00CB7A10">
      <w:pPr>
        <w:pStyle w:val="ListParagraph"/>
        <w:numPr>
          <w:ilvl w:val="0"/>
          <w:numId w:val="22"/>
        </w:numPr>
        <w:tabs>
          <w:tab w:val="left" w:pos="567"/>
        </w:tabs>
        <w:ind w:left="567" w:hanging="567"/>
        <w:jc w:val="both"/>
        <w:rPr>
          <w:rFonts w:cs="Arial"/>
          <w:szCs w:val="24"/>
        </w:rPr>
      </w:pPr>
      <w:r w:rsidRPr="00CB7A10">
        <w:rPr>
          <w:rFonts w:cs="Arial"/>
          <w:szCs w:val="24"/>
        </w:rPr>
        <w:t>A S106 developer’s contribution of £72,848 will be used to contribute towards the cost of the refurbishment, remodel and enlargement of Harrow Weald Sports Pavilion. The cost of the project is estimated at £330k, £257</w:t>
      </w:r>
      <w:r w:rsidR="00ED7104">
        <w:rPr>
          <w:rFonts w:cs="Arial"/>
          <w:szCs w:val="24"/>
        </w:rPr>
        <w:t>k</w:t>
      </w:r>
      <w:r w:rsidRPr="00CB7A10">
        <w:rPr>
          <w:rFonts w:cs="Arial"/>
          <w:szCs w:val="24"/>
        </w:rPr>
        <w:t xml:space="preserve"> of which can be met from existing funding already identified in the agreed capital programme. It is therefore requested that the budget </w:t>
      </w:r>
      <w:r w:rsidR="00D73F3D">
        <w:rPr>
          <w:rFonts w:cs="Arial"/>
          <w:szCs w:val="24"/>
        </w:rPr>
        <w:t xml:space="preserve">for Park </w:t>
      </w:r>
      <w:proofErr w:type="spellStart"/>
      <w:r w:rsidR="00D73F3D">
        <w:rPr>
          <w:rFonts w:cs="Arial"/>
          <w:szCs w:val="24"/>
        </w:rPr>
        <w:t>Infastructure</w:t>
      </w:r>
      <w:proofErr w:type="spellEnd"/>
      <w:r w:rsidR="00D73F3D">
        <w:rPr>
          <w:rFonts w:cs="Arial"/>
          <w:szCs w:val="24"/>
        </w:rPr>
        <w:t xml:space="preserve"> </w:t>
      </w:r>
      <w:r w:rsidR="000F6DDC">
        <w:rPr>
          <w:rFonts w:cs="Arial"/>
          <w:szCs w:val="24"/>
        </w:rPr>
        <w:t>in the capital programme is</w:t>
      </w:r>
      <w:r w:rsidRPr="00CB7A10">
        <w:rPr>
          <w:rFonts w:cs="Arial"/>
          <w:szCs w:val="24"/>
        </w:rPr>
        <w:t xml:space="preserve"> increased by £72,848. </w:t>
      </w:r>
    </w:p>
    <w:p w14:paraId="43FCF570" w14:textId="6C467BCD" w:rsidR="0029530B" w:rsidRDefault="0029530B">
      <w:pPr>
        <w:pStyle w:val="ListParagraph"/>
        <w:numPr>
          <w:ilvl w:val="0"/>
          <w:numId w:val="22"/>
        </w:numPr>
        <w:tabs>
          <w:tab w:val="left" w:pos="567"/>
        </w:tabs>
        <w:ind w:left="567" w:hanging="567"/>
        <w:jc w:val="both"/>
        <w:rPr>
          <w:rFonts w:cs="Arial"/>
          <w:szCs w:val="24"/>
        </w:rPr>
      </w:pPr>
      <w:r w:rsidRPr="0029530B">
        <w:rPr>
          <w:rFonts w:cs="Arial"/>
          <w:szCs w:val="24"/>
        </w:rPr>
        <w:t xml:space="preserve">Following the successful funding bids to the GLA and Forestry Commission, the Council has been awarded a total of £124,301 for tree planting across the borough in 2019/20 as part of Greener City Fund and Urban Tree Challenge </w:t>
      </w:r>
      <w:r w:rsidRPr="0029530B">
        <w:rPr>
          <w:rFonts w:cs="Arial"/>
          <w:szCs w:val="24"/>
        </w:rPr>
        <w:lastRenderedPageBreak/>
        <w:t>Fund schemes. It is therefore requested that the Highway Programme is increased by this sum to reflect the grant awards</w:t>
      </w:r>
      <w:r>
        <w:rPr>
          <w:rFonts w:cs="Arial"/>
          <w:szCs w:val="24"/>
        </w:rPr>
        <w:t>.</w:t>
      </w:r>
    </w:p>
    <w:p w14:paraId="40370704" w14:textId="77777777" w:rsidR="00DE7C00" w:rsidRPr="00DE7C00" w:rsidRDefault="00DE7C00" w:rsidP="00DE7C00">
      <w:pPr>
        <w:pStyle w:val="ListParagraph"/>
        <w:rPr>
          <w:rFonts w:cs="Arial"/>
          <w:szCs w:val="24"/>
        </w:rPr>
      </w:pPr>
    </w:p>
    <w:p w14:paraId="731D2590" w14:textId="11FD486E" w:rsidR="00DE7C00" w:rsidRDefault="00DE7C00">
      <w:pPr>
        <w:pStyle w:val="ListParagraph"/>
        <w:numPr>
          <w:ilvl w:val="0"/>
          <w:numId w:val="22"/>
        </w:numPr>
        <w:tabs>
          <w:tab w:val="left" w:pos="567"/>
        </w:tabs>
        <w:ind w:left="567" w:hanging="567"/>
        <w:jc w:val="both"/>
        <w:rPr>
          <w:rFonts w:cs="Arial"/>
          <w:szCs w:val="24"/>
        </w:rPr>
      </w:pPr>
      <w:r w:rsidRPr="00DE7C00">
        <w:rPr>
          <w:rFonts w:cs="Arial"/>
          <w:szCs w:val="24"/>
        </w:rPr>
        <w:t xml:space="preserve">In the current capital programme, there is a budget allocation for the new town centre library. The developer, Barratt Homes, provides the library on a shell and core basis to the Council, and the Council is responsible for the fit out works. As the installation/screed for the library pavilion building was not completed when the library was handed over to the Council, Barratt Homes agreed to provide a £50k funding to cover the cost of this. This work will now be completed by the Council’s fit out contractor. It is therefore requested that </w:t>
      </w:r>
      <w:r>
        <w:rPr>
          <w:rFonts w:cs="Arial"/>
          <w:szCs w:val="24"/>
        </w:rPr>
        <w:t xml:space="preserve">the budget for Central Library Refit/Refurb in the </w:t>
      </w:r>
      <w:r w:rsidRPr="00DE7C00">
        <w:rPr>
          <w:rFonts w:cs="Arial"/>
          <w:szCs w:val="24"/>
        </w:rPr>
        <w:t xml:space="preserve">capital </w:t>
      </w:r>
      <w:r>
        <w:rPr>
          <w:rFonts w:cs="Arial"/>
          <w:szCs w:val="24"/>
        </w:rPr>
        <w:t>programme is increased by £50k.</w:t>
      </w:r>
    </w:p>
    <w:p w14:paraId="0F04A94E" w14:textId="77777777" w:rsidR="00DB4768" w:rsidRPr="00DB4768" w:rsidRDefault="00DB4768" w:rsidP="0055416F">
      <w:pPr>
        <w:pStyle w:val="ListParagraph"/>
        <w:rPr>
          <w:rFonts w:cs="Arial"/>
          <w:szCs w:val="24"/>
        </w:rPr>
      </w:pPr>
    </w:p>
    <w:p w14:paraId="1ECF3A84" w14:textId="72A6D353" w:rsidR="00DB4768" w:rsidRPr="00DB4768" w:rsidRDefault="00DB4768">
      <w:pPr>
        <w:pStyle w:val="ListParagraph"/>
        <w:numPr>
          <w:ilvl w:val="0"/>
          <w:numId w:val="22"/>
        </w:numPr>
        <w:tabs>
          <w:tab w:val="left" w:pos="567"/>
        </w:tabs>
        <w:ind w:left="567" w:hanging="567"/>
        <w:jc w:val="both"/>
        <w:rPr>
          <w:rFonts w:cs="Arial"/>
          <w:szCs w:val="24"/>
        </w:rPr>
      </w:pPr>
      <w:r w:rsidRPr="0055416F">
        <w:rPr>
          <w:rFonts w:cs="Arial"/>
          <w:iCs/>
          <w:szCs w:val="24"/>
        </w:rPr>
        <w:t>The Council has entered into a contract for security and compliance works for HRA dwellings including the upgrade of fire alarms. A review of progress with the contractor has shown a proportion of these essential works can be accelerated and completed in financial year 2019/20 instead of 2020/21 as was originally anticipated. Approval is therefore requested to increase the budget for these works by £240k with an equal and opposite reduction in financial year 2020/21 to enable these works to be completed earlier. This will be reflected as an adjustment to the draft HRA budgets appearing elsewhere on the agenda which will be funded entirely from HRA resources with no impact on General Fund.</w:t>
      </w:r>
    </w:p>
    <w:p w14:paraId="5DCBFC0A" w14:textId="5392EF68" w:rsidR="006D376F" w:rsidRDefault="006D376F">
      <w:pPr>
        <w:pStyle w:val="ListParagraph"/>
        <w:tabs>
          <w:tab w:val="left" w:pos="567"/>
        </w:tabs>
        <w:ind w:left="1409" w:firstLine="567"/>
        <w:jc w:val="both"/>
        <w:rPr>
          <w:rFonts w:cs="Arial"/>
          <w:szCs w:val="24"/>
        </w:rPr>
      </w:pPr>
    </w:p>
    <w:p w14:paraId="0329EC06" w14:textId="77777777" w:rsidR="009E2F07" w:rsidRDefault="009E2F07">
      <w:pPr>
        <w:pStyle w:val="ListParagraph"/>
        <w:tabs>
          <w:tab w:val="left" w:pos="567"/>
        </w:tabs>
        <w:ind w:left="1409" w:firstLine="567"/>
        <w:jc w:val="both"/>
        <w:rPr>
          <w:rFonts w:cs="Arial"/>
          <w:szCs w:val="24"/>
        </w:rPr>
      </w:pPr>
    </w:p>
    <w:p w14:paraId="7C399F15" w14:textId="77777777" w:rsidR="00A2107D" w:rsidRDefault="00A2107D">
      <w:pPr>
        <w:pStyle w:val="ListParagraph"/>
        <w:tabs>
          <w:tab w:val="left" w:pos="567"/>
        </w:tabs>
        <w:ind w:left="567"/>
        <w:jc w:val="both"/>
        <w:rPr>
          <w:rFonts w:cs="Arial"/>
          <w:szCs w:val="24"/>
        </w:rPr>
      </w:pPr>
    </w:p>
    <w:p w14:paraId="5A8CCA1C" w14:textId="4B2C30DB" w:rsidR="007C5702" w:rsidRDefault="001C2ADC">
      <w:pPr>
        <w:pStyle w:val="ListParagraph"/>
        <w:numPr>
          <w:ilvl w:val="0"/>
          <w:numId w:val="46"/>
        </w:numPr>
        <w:tabs>
          <w:tab w:val="left" w:pos="567"/>
        </w:tabs>
        <w:ind w:left="567" w:hanging="567"/>
        <w:jc w:val="both"/>
        <w:rPr>
          <w:rFonts w:cs="Arial"/>
          <w:b/>
          <w:szCs w:val="24"/>
          <w:u w:val="single"/>
        </w:rPr>
      </w:pPr>
      <w:r>
        <w:rPr>
          <w:rFonts w:cs="Arial"/>
          <w:b/>
          <w:szCs w:val="24"/>
          <w:u w:val="single"/>
        </w:rPr>
        <w:t xml:space="preserve">COUNCIL TRADING </w:t>
      </w:r>
      <w:r w:rsidR="00090A67">
        <w:rPr>
          <w:rFonts w:cs="Arial"/>
          <w:b/>
          <w:szCs w:val="24"/>
          <w:u w:val="single"/>
        </w:rPr>
        <w:t>COMPANY</w:t>
      </w:r>
      <w:r>
        <w:rPr>
          <w:rFonts w:cs="Arial"/>
          <w:b/>
          <w:szCs w:val="24"/>
          <w:u w:val="single"/>
        </w:rPr>
        <w:t xml:space="preserve"> UPDATE 2019/20 – QUARTER </w:t>
      </w:r>
      <w:r w:rsidR="00CF1BCF">
        <w:rPr>
          <w:rFonts w:cs="Arial"/>
          <w:b/>
          <w:szCs w:val="24"/>
          <w:u w:val="single"/>
        </w:rPr>
        <w:t>2</w:t>
      </w:r>
    </w:p>
    <w:p w14:paraId="521EA08D" w14:textId="77777777" w:rsidR="007C5702" w:rsidRDefault="007C5702">
      <w:pPr>
        <w:pStyle w:val="ListParagraph"/>
        <w:tabs>
          <w:tab w:val="left" w:pos="567"/>
        </w:tabs>
        <w:ind w:left="567"/>
        <w:jc w:val="both"/>
        <w:rPr>
          <w:rFonts w:cs="Arial"/>
          <w:b/>
          <w:szCs w:val="24"/>
          <w:u w:val="single"/>
        </w:rPr>
      </w:pPr>
    </w:p>
    <w:p w14:paraId="5B0FFD08" w14:textId="390894C7" w:rsidR="006E0C18" w:rsidRPr="006E0C18" w:rsidRDefault="006E0C18" w:rsidP="00825AC5">
      <w:pPr>
        <w:pStyle w:val="ListParagraph"/>
        <w:numPr>
          <w:ilvl w:val="0"/>
          <w:numId w:val="51"/>
        </w:numPr>
        <w:ind w:left="567" w:hanging="567"/>
        <w:jc w:val="both"/>
        <w:rPr>
          <w:b/>
          <w:bCs/>
          <w:u w:val="single"/>
        </w:rPr>
      </w:pPr>
      <w:r>
        <w:t xml:space="preserve">The Council’s Trading </w:t>
      </w:r>
      <w:r w:rsidR="00B937A0">
        <w:t>Company</w:t>
      </w:r>
      <w:r>
        <w:t xml:space="preserve"> update for </w:t>
      </w:r>
      <w:r w:rsidR="00DA5290">
        <w:t>Q</w:t>
      </w:r>
      <w:r>
        <w:t>uarter 2 is attached at Appendix 6.</w:t>
      </w:r>
    </w:p>
    <w:p w14:paraId="67F49B0A" w14:textId="77777777" w:rsidR="001C2ADC" w:rsidRDefault="001C2ADC">
      <w:pPr>
        <w:tabs>
          <w:tab w:val="left" w:pos="567"/>
        </w:tabs>
        <w:jc w:val="both"/>
        <w:rPr>
          <w:rFonts w:cs="Arial"/>
          <w:b/>
          <w:szCs w:val="24"/>
          <w:u w:val="single"/>
        </w:rPr>
      </w:pPr>
    </w:p>
    <w:p w14:paraId="064E698F" w14:textId="4988BBBD" w:rsidR="006E0C18" w:rsidRDefault="001C2ADC" w:rsidP="00825AC5">
      <w:pPr>
        <w:ind w:left="567" w:hanging="567"/>
        <w:jc w:val="both"/>
        <w:rPr>
          <w:b/>
          <w:bCs/>
          <w:u w:val="single"/>
        </w:rPr>
      </w:pPr>
      <w:r>
        <w:rPr>
          <w:rFonts w:cs="Arial"/>
          <w:szCs w:val="24"/>
        </w:rPr>
        <w:t>4.2</w:t>
      </w:r>
      <w:r>
        <w:rPr>
          <w:rFonts w:cs="Arial"/>
          <w:szCs w:val="24"/>
        </w:rPr>
        <w:tab/>
      </w:r>
      <w:r w:rsidR="006E0C18">
        <w:t xml:space="preserve">In November 2018 Cabinet approved the use of </w:t>
      </w:r>
      <w:proofErr w:type="spellStart"/>
      <w:r w:rsidR="006E0C18">
        <w:t>Concilium</w:t>
      </w:r>
      <w:proofErr w:type="spellEnd"/>
      <w:r w:rsidR="006E0C18">
        <w:t xml:space="preserve"> Assets LLP as the Council’s Private Rented Sector (PRS) investment vehicle to operate the Council owned 53 PRS units at </w:t>
      </w:r>
      <w:proofErr w:type="spellStart"/>
      <w:r w:rsidR="006E0C18">
        <w:t>Gayton</w:t>
      </w:r>
      <w:proofErr w:type="spellEnd"/>
      <w:r w:rsidR="006E0C18">
        <w:t xml:space="preserve"> Road. The LLP started trading on 01 January 2019 and the 53 units were transferred to the LLP in July 2019 on a 10 year lease. All but </w:t>
      </w:r>
      <w:r w:rsidR="006F5336">
        <w:t>1</w:t>
      </w:r>
      <w:r w:rsidR="006E0C18">
        <w:t xml:space="preserve"> </w:t>
      </w:r>
      <w:r w:rsidR="000F6980">
        <w:t>flat</w:t>
      </w:r>
      <w:r w:rsidR="006E0C18">
        <w:t xml:space="preserve"> are already let.  The Business Plan shows a significant contribution of £641k to the Medium Term Financial Strategy profiled as £450k, £144k and £47k for 2020/21, 2021/22 and 2022/23 respectively to support core service provision. </w:t>
      </w:r>
    </w:p>
    <w:p w14:paraId="21D3116A" w14:textId="740F401B" w:rsidR="00073986" w:rsidRDefault="00073986" w:rsidP="00825AC5">
      <w:pPr>
        <w:tabs>
          <w:tab w:val="left" w:pos="567"/>
        </w:tabs>
        <w:ind w:left="567" w:hanging="567"/>
        <w:jc w:val="both"/>
        <w:rPr>
          <w:rFonts w:cs="Arial"/>
          <w:szCs w:val="24"/>
        </w:rPr>
      </w:pPr>
      <w:r>
        <w:rPr>
          <w:rFonts w:cs="Arial"/>
          <w:szCs w:val="24"/>
        </w:rPr>
        <w:t xml:space="preserve"> </w:t>
      </w:r>
    </w:p>
    <w:p w14:paraId="77B91BBE" w14:textId="2D4C0600" w:rsidR="006E0C18" w:rsidRDefault="00073986" w:rsidP="00825AC5">
      <w:pPr>
        <w:ind w:left="567" w:hanging="567"/>
        <w:jc w:val="both"/>
      </w:pPr>
      <w:r>
        <w:rPr>
          <w:rFonts w:cs="Arial"/>
          <w:szCs w:val="24"/>
        </w:rPr>
        <w:t>4.3</w:t>
      </w:r>
      <w:r>
        <w:rPr>
          <w:rFonts w:cs="Arial"/>
          <w:szCs w:val="24"/>
        </w:rPr>
        <w:tab/>
      </w:r>
      <w:r w:rsidR="006E0C18">
        <w:t xml:space="preserve">The Trading </w:t>
      </w:r>
      <w:r w:rsidR="00B937A0">
        <w:t>Company</w:t>
      </w:r>
      <w:r w:rsidR="006E0C18">
        <w:t xml:space="preserve"> update summarises the </w:t>
      </w:r>
      <w:r w:rsidR="006F5336">
        <w:t>summary</w:t>
      </w:r>
      <w:r w:rsidR="006E0C18">
        <w:t xml:space="preserve"> level financial position and provides a general update on the activities of all of the councils trading entities.</w:t>
      </w:r>
    </w:p>
    <w:p w14:paraId="6C1FE562" w14:textId="77777777" w:rsidR="00C942DB" w:rsidRDefault="00C942DB" w:rsidP="00825AC5">
      <w:pPr>
        <w:ind w:left="567" w:hanging="567"/>
        <w:jc w:val="both"/>
      </w:pPr>
    </w:p>
    <w:p w14:paraId="1EAFE18E" w14:textId="77777777" w:rsidR="00C942DB" w:rsidRDefault="00C942DB" w:rsidP="00825AC5">
      <w:pPr>
        <w:ind w:left="567" w:hanging="567"/>
        <w:jc w:val="both"/>
      </w:pPr>
    </w:p>
    <w:p w14:paraId="6806E5E2" w14:textId="14FBB803" w:rsidR="005641E0" w:rsidRPr="00AF66F2" w:rsidRDefault="00CD2E63">
      <w:pPr>
        <w:ind w:left="567" w:hanging="567"/>
        <w:jc w:val="both"/>
        <w:rPr>
          <w:b/>
          <w:szCs w:val="24"/>
        </w:rPr>
      </w:pPr>
      <w:r>
        <w:rPr>
          <w:rFonts w:cs="Arial"/>
          <w:szCs w:val="24"/>
        </w:rPr>
        <w:t xml:space="preserve"> </w:t>
      </w:r>
      <w:r w:rsidR="00BC74D1">
        <w:rPr>
          <w:rFonts w:cs="Arial"/>
          <w:szCs w:val="24"/>
        </w:rPr>
        <w:t>5.0</w:t>
      </w:r>
      <w:r w:rsidR="00BC74D1">
        <w:rPr>
          <w:rFonts w:cs="Arial"/>
          <w:szCs w:val="24"/>
        </w:rPr>
        <w:tab/>
      </w:r>
      <w:r w:rsidR="005641E0" w:rsidRPr="00AF66F2">
        <w:rPr>
          <w:b/>
          <w:szCs w:val="24"/>
        </w:rPr>
        <w:t>Reporting for the 2019/20 Financial Year</w:t>
      </w:r>
    </w:p>
    <w:p w14:paraId="6BADF740" w14:textId="2341C257" w:rsidR="005641E0" w:rsidRDefault="005641E0">
      <w:pPr>
        <w:ind w:left="567"/>
        <w:jc w:val="both"/>
        <w:rPr>
          <w:szCs w:val="24"/>
        </w:rPr>
      </w:pPr>
      <w:r w:rsidRPr="00AF66F2">
        <w:rPr>
          <w:szCs w:val="24"/>
        </w:rPr>
        <w:t xml:space="preserve">Cabinet will receive </w:t>
      </w:r>
      <w:r w:rsidR="00167F0A">
        <w:rPr>
          <w:szCs w:val="24"/>
        </w:rPr>
        <w:t>Q</w:t>
      </w:r>
      <w:r w:rsidRPr="00AF66F2">
        <w:rPr>
          <w:szCs w:val="24"/>
        </w:rPr>
        <w:t>uarterly monitoring reports during the year as follows:</w:t>
      </w:r>
    </w:p>
    <w:p w14:paraId="1A2B8320" w14:textId="77777777" w:rsidR="00BD6CCD" w:rsidRDefault="00BD6CCD">
      <w:pPr>
        <w:ind w:left="567"/>
        <w:jc w:val="both"/>
        <w:rPr>
          <w:szCs w:val="24"/>
        </w:rPr>
      </w:pPr>
    </w:p>
    <w:p w14:paraId="0F24C6E9" w14:textId="77777777" w:rsidR="005641E0" w:rsidRPr="00647599" w:rsidRDefault="005641E0">
      <w:pPr>
        <w:pStyle w:val="ListParagraph"/>
        <w:numPr>
          <w:ilvl w:val="0"/>
          <w:numId w:val="8"/>
        </w:numPr>
        <w:jc w:val="both"/>
        <w:rPr>
          <w:szCs w:val="24"/>
        </w:rPr>
      </w:pPr>
      <w:r w:rsidRPr="00647599">
        <w:rPr>
          <w:szCs w:val="24"/>
        </w:rPr>
        <w:t>Quarter 3 February 2020</w:t>
      </w:r>
    </w:p>
    <w:p w14:paraId="10EF8BD3" w14:textId="1D971AE7" w:rsidR="005641E0" w:rsidRDefault="005641E0">
      <w:pPr>
        <w:numPr>
          <w:ilvl w:val="0"/>
          <w:numId w:val="8"/>
        </w:numPr>
        <w:jc w:val="both"/>
        <w:rPr>
          <w:szCs w:val="24"/>
        </w:rPr>
      </w:pPr>
      <w:r w:rsidRPr="00AF66F2">
        <w:rPr>
          <w:szCs w:val="24"/>
        </w:rPr>
        <w:t>Outturn report June 2020</w:t>
      </w:r>
    </w:p>
    <w:p w14:paraId="03CFC208" w14:textId="77777777" w:rsidR="00AA18FC" w:rsidRPr="00AF66F2" w:rsidRDefault="00AA18FC">
      <w:pPr>
        <w:ind w:left="1211"/>
        <w:jc w:val="both"/>
        <w:rPr>
          <w:szCs w:val="24"/>
        </w:rPr>
      </w:pPr>
    </w:p>
    <w:p w14:paraId="6963CCA6" w14:textId="3ED72C5A" w:rsidR="00333FAA" w:rsidRPr="00B1044F" w:rsidRDefault="00BC74D1">
      <w:pPr>
        <w:pStyle w:val="Heading2"/>
        <w:jc w:val="both"/>
        <w:rPr>
          <w:sz w:val="24"/>
          <w:szCs w:val="24"/>
        </w:rPr>
      </w:pPr>
      <w:r>
        <w:rPr>
          <w:b w:val="0"/>
          <w:sz w:val="24"/>
          <w:szCs w:val="24"/>
        </w:rPr>
        <w:t>6</w:t>
      </w:r>
      <w:r w:rsidR="004C0103" w:rsidRPr="003634DA">
        <w:rPr>
          <w:b w:val="0"/>
          <w:sz w:val="24"/>
          <w:szCs w:val="24"/>
        </w:rPr>
        <w:t>.0</w:t>
      </w:r>
      <w:r w:rsidR="00A80770">
        <w:rPr>
          <w:sz w:val="24"/>
          <w:szCs w:val="24"/>
        </w:rPr>
        <w:t xml:space="preserve">     </w:t>
      </w:r>
      <w:r w:rsidR="00333FAA" w:rsidRPr="00B1044F">
        <w:rPr>
          <w:sz w:val="24"/>
          <w:szCs w:val="24"/>
        </w:rPr>
        <w:t>Implications of the Recommendation</w:t>
      </w:r>
    </w:p>
    <w:p w14:paraId="34AEEF65" w14:textId="5FCD5455" w:rsidR="005641E0" w:rsidRPr="00916452" w:rsidRDefault="00A80770">
      <w:pPr>
        <w:ind w:left="709" w:hanging="709"/>
        <w:jc w:val="both"/>
        <w:rPr>
          <w:szCs w:val="24"/>
        </w:rPr>
      </w:pPr>
      <w:r>
        <w:rPr>
          <w:b/>
          <w:szCs w:val="24"/>
        </w:rPr>
        <w:t xml:space="preserve">          </w:t>
      </w:r>
      <w:r w:rsidR="006D3BD9" w:rsidRPr="00916452">
        <w:rPr>
          <w:szCs w:val="24"/>
        </w:rPr>
        <w:t>Implications of recommendation are set out in the body of this report.</w:t>
      </w:r>
    </w:p>
    <w:p w14:paraId="78E1F5B7" w14:textId="787CD2AE" w:rsidR="000B14FE" w:rsidRPr="00AF66F2" w:rsidRDefault="000B14FE">
      <w:pPr>
        <w:jc w:val="both"/>
        <w:rPr>
          <w:b/>
          <w:szCs w:val="24"/>
        </w:rPr>
      </w:pPr>
    </w:p>
    <w:p w14:paraId="70806613" w14:textId="63292056" w:rsidR="00333FAA" w:rsidRPr="00AF66F2" w:rsidRDefault="00BC74D1">
      <w:pPr>
        <w:pStyle w:val="Heading4"/>
        <w:tabs>
          <w:tab w:val="left" w:pos="567"/>
        </w:tabs>
        <w:jc w:val="both"/>
        <w:rPr>
          <w:szCs w:val="24"/>
        </w:rPr>
      </w:pPr>
      <w:r>
        <w:rPr>
          <w:b w:val="0"/>
          <w:szCs w:val="24"/>
        </w:rPr>
        <w:t>7</w:t>
      </w:r>
      <w:r w:rsidR="004C0103" w:rsidRPr="003634DA">
        <w:rPr>
          <w:b w:val="0"/>
          <w:szCs w:val="24"/>
        </w:rPr>
        <w:t>.0</w:t>
      </w:r>
      <w:r w:rsidR="004C0103" w:rsidRPr="003634DA">
        <w:rPr>
          <w:b w:val="0"/>
          <w:szCs w:val="24"/>
        </w:rPr>
        <w:tab/>
      </w:r>
      <w:r w:rsidR="00333FAA" w:rsidRPr="00AF66F2">
        <w:rPr>
          <w:szCs w:val="24"/>
        </w:rPr>
        <w:t>Performance Issues</w:t>
      </w:r>
      <w:r w:rsidR="001C7E35" w:rsidRPr="00AF66F2">
        <w:rPr>
          <w:szCs w:val="24"/>
        </w:rPr>
        <w:tab/>
      </w:r>
    </w:p>
    <w:p w14:paraId="2669770A" w14:textId="7E786AC5" w:rsidR="007935C5" w:rsidRPr="007935C5" w:rsidRDefault="007935C5">
      <w:pPr>
        <w:tabs>
          <w:tab w:val="left" w:pos="7245"/>
        </w:tabs>
        <w:ind w:left="567"/>
        <w:jc w:val="both"/>
        <w:rPr>
          <w:szCs w:val="24"/>
          <w:lang w:val="en-US"/>
        </w:rPr>
      </w:pPr>
      <w:r w:rsidRPr="007935C5">
        <w:rPr>
          <w:szCs w:val="24"/>
        </w:rPr>
        <w:t xml:space="preserve">Good financial monitoring is essential to </w:t>
      </w:r>
      <w:r w:rsidRPr="007935C5">
        <w:rPr>
          <w:szCs w:val="24"/>
          <w:lang w:val="en-US"/>
        </w:rPr>
        <w:t xml:space="preserve">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w:t>
      </w:r>
      <w:proofErr w:type="spellStart"/>
      <w:r w:rsidRPr="007935C5">
        <w:rPr>
          <w:szCs w:val="24"/>
          <w:lang w:val="en-US"/>
        </w:rPr>
        <w:t>maximi</w:t>
      </w:r>
      <w:r w:rsidR="00866A77">
        <w:rPr>
          <w:szCs w:val="24"/>
          <w:lang w:val="en-US"/>
        </w:rPr>
        <w:t>s</w:t>
      </w:r>
      <w:r w:rsidRPr="007935C5">
        <w:rPr>
          <w:szCs w:val="24"/>
          <w:lang w:val="en-US"/>
        </w:rPr>
        <w:t>ed</w:t>
      </w:r>
      <w:proofErr w:type="spellEnd"/>
      <w:r w:rsidRPr="007935C5">
        <w:rPr>
          <w:szCs w:val="24"/>
          <w:lang w:val="en-US"/>
        </w:rPr>
        <w:t>.</w:t>
      </w:r>
    </w:p>
    <w:p w14:paraId="37088F14" w14:textId="77777777" w:rsidR="007935C5" w:rsidRPr="007935C5" w:rsidRDefault="007935C5">
      <w:pPr>
        <w:tabs>
          <w:tab w:val="left" w:pos="7245"/>
        </w:tabs>
        <w:ind w:left="709"/>
        <w:jc w:val="both"/>
        <w:rPr>
          <w:szCs w:val="24"/>
          <w:lang w:val="en-US"/>
        </w:rPr>
      </w:pPr>
    </w:p>
    <w:p w14:paraId="5E65C0F0" w14:textId="33135540" w:rsidR="007935C5" w:rsidRPr="007935C5" w:rsidRDefault="007935C5">
      <w:pPr>
        <w:tabs>
          <w:tab w:val="left" w:pos="7245"/>
        </w:tabs>
        <w:ind w:left="567"/>
        <w:jc w:val="both"/>
        <w:rPr>
          <w:szCs w:val="24"/>
        </w:rPr>
      </w:pPr>
      <w:r w:rsidRPr="007935C5">
        <w:rPr>
          <w:szCs w:val="24"/>
        </w:rPr>
        <w:t xml:space="preserve">The forecast position at Quarter </w:t>
      </w:r>
      <w:r w:rsidR="00A279BE">
        <w:rPr>
          <w:szCs w:val="24"/>
        </w:rPr>
        <w:t>2</w:t>
      </w:r>
      <w:r w:rsidRPr="007935C5">
        <w:rPr>
          <w:szCs w:val="24"/>
        </w:rPr>
        <w:t xml:space="preserve"> is showing an </w:t>
      </w:r>
      <w:r w:rsidR="00A279BE">
        <w:rPr>
          <w:szCs w:val="24"/>
        </w:rPr>
        <w:t>over</w:t>
      </w:r>
      <w:r w:rsidR="00BD6CCD">
        <w:rPr>
          <w:szCs w:val="24"/>
        </w:rPr>
        <w:t xml:space="preserve"> </w:t>
      </w:r>
      <w:r w:rsidRPr="007935C5">
        <w:rPr>
          <w:szCs w:val="24"/>
        </w:rPr>
        <w:t xml:space="preserve">spend position of </w:t>
      </w:r>
      <w:r w:rsidR="009705D3">
        <w:rPr>
          <w:szCs w:val="24"/>
        </w:rPr>
        <w:t>£</w:t>
      </w:r>
      <w:r w:rsidR="008678C5">
        <w:rPr>
          <w:szCs w:val="24"/>
        </w:rPr>
        <w:t>254k</w:t>
      </w:r>
      <w:r w:rsidRPr="007935C5">
        <w:rPr>
          <w:szCs w:val="24"/>
        </w:rPr>
        <w:t xml:space="preserve">. </w:t>
      </w:r>
    </w:p>
    <w:p w14:paraId="00A7ACC1" w14:textId="77777777" w:rsidR="007935C5" w:rsidRPr="007935C5" w:rsidRDefault="007935C5">
      <w:pPr>
        <w:tabs>
          <w:tab w:val="left" w:pos="7245"/>
        </w:tabs>
        <w:ind w:left="709"/>
        <w:jc w:val="both"/>
        <w:rPr>
          <w:szCs w:val="24"/>
        </w:rPr>
      </w:pPr>
    </w:p>
    <w:p w14:paraId="3B9B1B5D" w14:textId="76BE0100" w:rsidR="007935C5" w:rsidRPr="007935C5" w:rsidRDefault="007935C5">
      <w:pPr>
        <w:tabs>
          <w:tab w:val="left" w:pos="7245"/>
        </w:tabs>
        <w:ind w:left="567"/>
        <w:jc w:val="both"/>
        <w:rPr>
          <w:szCs w:val="24"/>
        </w:rPr>
      </w:pPr>
      <w:r w:rsidRPr="007935C5">
        <w:rPr>
          <w:szCs w:val="24"/>
        </w:rPr>
        <w:t>For the 2019</w:t>
      </w:r>
      <w:r>
        <w:rPr>
          <w:szCs w:val="24"/>
        </w:rPr>
        <w:t>/20</w:t>
      </w:r>
      <w:r w:rsidRPr="007935C5">
        <w:rPr>
          <w:szCs w:val="24"/>
        </w:rPr>
        <w:t xml:space="preserve"> savings built into the MTFS,</w:t>
      </w:r>
      <w:r>
        <w:rPr>
          <w:szCs w:val="24"/>
        </w:rPr>
        <w:t xml:space="preserve"> the overall position is that </w:t>
      </w:r>
      <w:r w:rsidR="009705D3">
        <w:rPr>
          <w:szCs w:val="24"/>
        </w:rPr>
        <w:t>33</w:t>
      </w:r>
      <w:r w:rsidRPr="007935C5">
        <w:rPr>
          <w:szCs w:val="24"/>
        </w:rPr>
        <w:t xml:space="preserve">% of the savings are RAG rated as Green (Clear delivery plans in place and project running to timescale), </w:t>
      </w:r>
      <w:r w:rsidR="008977B2">
        <w:rPr>
          <w:szCs w:val="24"/>
        </w:rPr>
        <w:t>5</w:t>
      </w:r>
      <w:r w:rsidR="009705D3">
        <w:rPr>
          <w:szCs w:val="24"/>
        </w:rPr>
        <w:t>4</w:t>
      </w:r>
      <w:r w:rsidRPr="007935C5">
        <w:rPr>
          <w:szCs w:val="24"/>
        </w:rPr>
        <w:t>% amber (Potential for slippage, project will be delivered as originally intended but not within timescale, so saving will not be fully realise</w:t>
      </w:r>
      <w:r w:rsidR="00ED7104">
        <w:rPr>
          <w:szCs w:val="24"/>
        </w:rPr>
        <w:t>d</w:t>
      </w:r>
      <w:r w:rsidRPr="007935C5">
        <w:rPr>
          <w:szCs w:val="24"/>
        </w:rPr>
        <w:t>)</w:t>
      </w:r>
      <w:r>
        <w:rPr>
          <w:szCs w:val="24"/>
        </w:rPr>
        <w:t xml:space="preserve"> and </w:t>
      </w:r>
      <w:r w:rsidR="009705D3">
        <w:rPr>
          <w:szCs w:val="24"/>
        </w:rPr>
        <w:t>13</w:t>
      </w:r>
      <w:r w:rsidRPr="007935C5">
        <w:rPr>
          <w:szCs w:val="24"/>
        </w:rPr>
        <w:t>% red (Project may have started but will deliver no savings in the current financial year).</w:t>
      </w:r>
    </w:p>
    <w:p w14:paraId="4875A1EB" w14:textId="77777777" w:rsidR="007935C5" w:rsidRPr="007935C5" w:rsidRDefault="007935C5">
      <w:pPr>
        <w:tabs>
          <w:tab w:val="left" w:pos="7245"/>
        </w:tabs>
        <w:ind w:left="709"/>
        <w:jc w:val="both"/>
        <w:rPr>
          <w:szCs w:val="24"/>
        </w:rPr>
      </w:pPr>
    </w:p>
    <w:p w14:paraId="04158956" w14:textId="49260FAA" w:rsidR="00714BEE" w:rsidRPr="00AF66F2" w:rsidRDefault="007935C5">
      <w:pPr>
        <w:tabs>
          <w:tab w:val="left" w:pos="7245"/>
        </w:tabs>
        <w:ind w:left="567"/>
        <w:jc w:val="both"/>
        <w:rPr>
          <w:i/>
          <w:color w:val="0000FF"/>
          <w:szCs w:val="24"/>
        </w:rPr>
      </w:pPr>
      <w:r w:rsidRPr="007935C5">
        <w:rPr>
          <w:szCs w:val="24"/>
        </w:rPr>
        <w:t xml:space="preserve">The Capital Programme is projecting spend of </w:t>
      </w:r>
      <w:r w:rsidR="009705D3">
        <w:rPr>
          <w:szCs w:val="24"/>
        </w:rPr>
        <w:t>44</w:t>
      </w:r>
      <w:r w:rsidRPr="007935C5">
        <w:rPr>
          <w:szCs w:val="24"/>
        </w:rPr>
        <w:t xml:space="preserve">% as at Quarter </w:t>
      </w:r>
      <w:r w:rsidR="00ED7104">
        <w:rPr>
          <w:szCs w:val="24"/>
        </w:rPr>
        <w:t>2</w:t>
      </w:r>
      <w:r w:rsidRPr="007935C5">
        <w:rPr>
          <w:szCs w:val="24"/>
        </w:rPr>
        <w:t>.</w:t>
      </w:r>
    </w:p>
    <w:p w14:paraId="0F9C6ECF" w14:textId="77777777" w:rsidR="000B14FE" w:rsidRPr="00AF66F2" w:rsidRDefault="000B14FE">
      <w:pPr>
        <w:tabs>
          <w:tab w:val="left" w:pos="7245"/>
        </w:tabs>
        <w:jc w:val="both"/>
        <w:rPr>
          <w:szCs w:val="24"/>
        </w:rPr>
      </w:pPr>
    </w:p>
    <w:p w14:paraId="10B45FCE" w14:textId="7FDE0066" w:rsidR="00333FAA" w:rsidRPr="00AF66F2" w:rsidRDefault="00BC74D1">
      <w:pPr>
        <w:pStyle w:val="Heading4"/>
        <w:jc w:val="both"/>
        <w:rPr>
          <w:szCs w:val="24"/>
        </w:rPr>
      </w:pPr>
      <w:r>
        <w:rPr>
          <w:b w:val="0"/>
          <w:szCs w:val="24"/>
        </w:rPr>
        <w:t>8</w:t>
      </w:r>
      <w:r w:rsidR="004C0103" w:rsidRPr="003634DA">
        <w:rPr>
          <w:b w:val="0"/>
          <w:szCs w:val="24"/>
        </w:rPr>
        <w:t>.0</w:t>
      </w:r>
      <w:r w:rsidR="0008678F">
        <w:rPr>
          <w:szCs w:val="24"/>
        </w:rPr>
        <w:t xml:space="preserve">    </w:t>
      </w:r>
      <w:r w:rsidR="00333FAA" w:rsidRPr="00AF66F2">
        <w:rPr>
          <w:szCs w:val="24"/>
        </w:rPr>
        <w:t>Environmental Implications</w:t>
      </w:r>
    </w:p>
    <w:p w14:paraId="1B7702EF" w14:textId="155FCDCF" w:rsidR="000929A6" w:rsidRDefault="0008678F">
      <w:pPr>
        <w:jc w:val="both"/>
        <w:rPr>
          <w:szCs w:val="24"/>
        </w:rPr>
      </w:pPr>
      <w:r>
        <w:rPr>
          <w:szCs w:val="24"/>
        </w:rPr>
        <w:t xml:space="preserve">         </w:t>
      </w:r>
      <w:r w:rsidR="005641E0" w:rsidRPr="00AF66F2">
        <w:rPr>
          <w:szCs w:val="24"/>
        </w:rPr>
        <w:t>There is no direct environmental impact.</w:t>
      </w:r>
    </w:p>
    <w:p w14:paraId="4C1FB2B2" w14:textId="77777777" w:rsidR="00FC1517" w:rsidRPr="00AF66F2" w:rsidRDefault="00FC1517">
      <w:pPr>
        <w:jc w:val="both"/>
        <w:rPr>
          <w:szCs w:val="24"/>
        </w:rPr>
      </w:pPr>
    </w:p>
    <w:p w14:paraId="45FE986E" w14:textId="07BA437B" w:rsidR="00A81E19" w:rsidRPr="00AF66F2" w:rsidRDefault="00BC74D1">
      <w:pPr>
        <w:pStyle w:val="Heading2"/>
        <w:jc w:val="both"/>
        <w:rPr>
          <w:sz w:val="24"/>
          <w:szCs w:val="24"/>
        </w:rPr>
      </w:pPr>
      <w:r>
        <w:rPr>
          <w:b w:val="0"/>
          <w:sz w:val="24"/>
          <w:szCs w:val="24"/>
        </w:rPr>
        <w:t>9</w:t>
      </w:r>
      <w:r w:rsidR="004C0103" w:rsidRPr="003634DA">
        <w:rPr>
          <w:b w:val="0"/>
          <w:sz w:val="24"/>
          <w:szCs w:val="24"/>
        </w:rPr>
        <w:t>.0</w:t>
      </w:r>
      <w:r w:rsidR="00FC1517">
        <w:rPr>
          <w:sz w:val="24"/>
          <w:szCs w:val="24"/>
        </w:rPr>
        <w:t xml:space="preserve">    </w:t>
      </w:r>
      <w:r w:rsidR="00A81E19" w:rsidRPr="00AF66F2">
        <w:rPr>
          <w:sz w:val="24"/>
          <w:szCs w:val="24"/>
        </w:rPr>
        <w:t>Risk Management Implications</w:t>
      </w:r>
    </w:p>
    <w:p w14:paraId="06B7BF44" w14:textId="7C63473D" w:rsidR="00D1552E" w:rsidRDefault="003A5662" w:rsidP="00C9462C">
      <w:pPr>
        <w:ind w:left="567"/>
        <w:jc w:val="both"/>
        <w:rPr>
          <w:szCs w:val="24"/>
        </w:rPr>
      </w:pPr>
      <w:r w:rsidRPr="00825AC5">
        <w:rPr>
          <w:szCs w:val="24"/>
        </w:rPr>
        <w:t>The key financial risks are managed through the risk ma</w:t>
      </w:r>
      <w:r w:rsidR="00CC3C22" w:rsidRPr="00825AC5">
        <w:rPr>
          <w:szCs w:val="24"/>
        </w:rPr>
        <w:t>nagement strategy. There is one</w:t>
      </w:r>
      <w:r w:rsidRPr="00825AC5">
        <w:rPr>
          <w:szCs w:val="24"/>
        </w:rPr>
        <w:t xml:space="preserve"> significant financial risks currently included on the Corporate Risk Register:</w:t>
      </w:r>
    </w:p>
    <w:p w14:paraId="087E56DC" w14:textId="77777777" w:rsidR="00D259AF" w:rsidRDefault="00D259AF" w:rsidP="00825AC5">
      <w:pPr>
        <w:pStyle w:val="ListParagraph"/>
        <w:ind w:left="1125"/>
        <w:jc w:val="both"/>
        <w:rPr>
          <w:szCs w:val="24"/>
        </w:rPr>
      </w:pPr>
    </w:p>
    <w:p w14:paraId="5C1C8399" w14:textId="26D3CF64" w:rsidR="00CC3C22" w:rsidRPr="00A81783" w:rsidRDefault="00CC3C22" w:rsidP="00825AC5">
      <w:pPr>
        <w:pStyle w:val="ListParagraph"/>
        <w:numPr>
          <w:ilvl w:val="1"/>
          <w:numId w:val="64"/>
        </w:numPr>
        <w:jc w:val="both"/>
        <w:rPr>
          <w:szCs w:val="24"/>
        </w:rPr>
      </w:pPr>
      <w:r w:rsidRPr="00825AC5">
        <w:rPr>
          <w:szCs w:val="24"/>
        </w:rPr>
        <w:t>The Inability to deliver the Council’s approved MTFS leading to a dereliction of duties resulting in government intervention/ an inability to pay the Council’s debts</w:t>
      </w:r>
      <w:r>
        <w:rPr>
          <w:szCs w:val="24"/>
        </w:rPr>
        <w:t xml:space="preserve"> </w:t>
      </w:r>
      <w:r w:rsidRPr="00CC3C22">
        <w:rPr>
          <w:szCs w:val="24"/>
        </w:rPr>
        <w:t>which is currently rated</w:t>
      </w:r>
      <w:r>
        <w:rPr>
          <w:szCs w:val="24"/>
        </w:rPr>
        <w:t xml:space="preserve"> C2 – medium likelihood, critical impact.</w:t>
      </w:r>
    </w:p>
    <w:p w14:paraId="28C55022" w14:textId="77777777" w:rsidR="00CC3C22" w:rsidRDefault="00CC3C22">
      <w:pPr>
        <w:ind w:right="141"/>
        <w:jc w:val="both"/>
        <w:rPr>
          <w:szCs w:val="24"/>
          <w:lang w:val="en-US"/>
        </w:rPr>
      </w:pPr>
    </w:p>
    <w:p w14:paraId="3A64D6CD" w14:textId="710E6B54" w:rsidR="002A3FEF" w:rsidRPr="00AF66F2" w:rsidRDefault="00BC74D1">
      <w:pPr>
        <w:pStyle w:val="Heading2"/>
        <w:tabs>
          <w:tab w:val="left" w:pos="709"/>
        </w:tabs>
        <w:jc w:val="both"/>
        <w:rPr>
          <w:sz w:val="24"/>
          <w:szCs w:val="24"/>
        </w:rPr>
      </w:pPr>
      <w:r>
        <w:rPr>
          <w:b w:val="0"/>
          <w:sz w:val="24"/>
          <w:szCs w:val="24"/>
        </w:rPr>
        <w:t>10</w:t>
      </w:r>
      <w:r w:rsidR="004C0103" w:rsidRPr="003634DA">
        <w:rPr>
          <w:b w:val="0"/>
          <w:sz w:val="24"/>
          <w:szCs w:val="24"/>
        </w:rPr>
        <w:t>.0</w:t>
      </w:r>
      <w:r w:rsidR="004C0103" w:rsidRPr="00AF66F2">
        <w:rPr>
          <w:sz w:val="24"/>
          <w:szCs w:val="24"/>
        </w:rPr>
        <w:tab/>
      </w:r>
      <w:r w:rsidR="002A3FEF" w:rsidRPr="00AF66F2">
        <w:rPr>
          <w:sz w:val="24"/>
          <w:szCs w:val="24"/>
        </w:rPr>
        <w:t xml:space="preserve">Procurement Implications </w:t>
      </w:r>
    </w:p>
    <w:p w14:paraId="62E60B38" w14:textId="77777777" w:rsidR="002A3FEF" w:rsidRPr="00AF66F2" w:rsidRDefault="004C0103">
      <w:pPr>
        <w:ind w:left="709"/>
        <w:jc w:val="both"/>
        <w:rPr>
          <w:szCs w:val="24"/>
        </w:rPr>
      </w:pPr>
      <w:r w:rsidRPr="00AF66F2">
        <w:rPr>
          <w:szCs w:val="24"/>
        </w:rPr>
        <w:t>There are no procurement implication arising from this report</w:t>
      </w:r>
    </w:p>
    <w:p w14:paraId="26A1CB10" w14:textId="77777777" w:rsidR="000B14FE" w:rsidRPr="00A278A7" w:rsidRDefault="000B14FE" w:rsidP="00825AC5">
      <w:pPr>
        <w:jc w:val="both"/>
      </w:pPr>
    </w:p>
    <w:p w14:paraId="50268769" w14:textId="7D25E6A8" w:rsidR="00333FAA" w:rsidRPr="00AF66F2" w:rsidRDefault="000058C5">
      <w:pPr>
        <w:pStyle w:val="Heading2"/>
        <w:jc w:val="both"/>
        <w:rPr>
          <w:sz w:val="24"/>
          <w:szCs w:val="24"/>
        </w:rPr>
      </w:pPr>
      <w:r>
        <w:rPr>
          <w:b w:val="0"/>
          <w:sz w:val="24"/>
          <w:szCs w:val="24"/>
        </w:rPr>
        <w:t>1</w:t>
      </w:r>
      <w:r w:rsidR="00BC74D1">
        <w:rPr>
          <w:b w:val="0"/>
          <w:sz w:val="24"/>
          <w:szCs w:val="24"/>
        </w:rPr>
        <w:t>1</w:t>
      </w:r>
      <w:r w:rsidR="00E269CF" w:rsidRPr="003634DA">
        <w:rPr>
          <w:b w:val="0"/>
          <w:sz w:val="24"/>
          <w:szCs w:val="24"/>
        </w:rPr>
        <w:t>.0</w:t>
      </w:r>
      <w:r w:rsidR="00E269CF" w:rsidRPr="00AF66F2">
        <w:rPr>
          <w:sz w:val="24"/>
          <w:szCs w:val="24"/>
        </w:rPr>
        <w:tab/>
      </w:r>
      <w:r w:rsidR="00333FAA" w:rsidRPr="00AF66F2">
        <w:rPr>
          <w:sz w:val="24"/>
          <w:szCs w:val="24"/>
        </w:rPr>
        <w:t>Legal Implications</w:t>
      </w:r>
    </w:p>
    <w:p w14:paraId="4CD42740" w14:textId="77777777" w:rsidR="005641E0" w:rsidRDefault="005641E0">
      <w:pPr>
        <w:ind w:left="709"/>
        <w:jc w:val="both"/>
        <w:rPr>
          <w:szCs w:val="24"/>
        </w:rPr>
      </w:pPr>
      <w:r w:rsidRPr="00AF66F2">
        <w:rPr>
          <w:szCs w:val="24"/>
        </w:rPr>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w:t>
      </w:r>
      <w:proofErr w:type="spellStart"/>
      <w:r w:rsidRPr="00AF66F2">
        <w:rPr>
          <w:szCs w:val="24"/>
        </w:rPr>
        <w:t>precepting</w:t>
      </w:r>
      <w:proofErr w:type="spellEnd"/>
      <w:r w:rsidRPr="00AF66F2">
        <w:rPr>
          <w:szCs w:val="24"/>
        </w:rPr>
        <w:t xml:space="preserve"> authority to monitor, during the financial year, its income and expenditure against budget calculations.</w:t>
      </w:r>
    </w:p>
    <w:p w14:paraId="1D28D892" w14:textId="77777777" w:rsidR="00802315" w:rsidRDefault="00802315">
      <w:pPr>
        <w:ind w:left="709"/>
        <w:jc w:val="both"/>
        <w:rPr>
          <w:szCs w:val="24"/>
        </w:rPr>
      </w:pPr>
    </w:p>
    <w:p w14:paraId="14E87789" w14:textId="710D8409" w:rsidR="00A00866" w:rsidRDefault="00A00866">
      <w:pPr>
        <w:ind w:left="709"/>
        <w:jc w:val="both"/>
        <w:rPr>
          <w:szCs w:val="24"/>
        </w:rPr>
      </w:pPr>
      <w:r w:rsidRPr="00A00866">
        <w:rPr>
          <w:szCs w:val="24"/>
        </w:rPr>
        <w:t xml:space="preserve">Under paragraph B48  of the </w:t>
      </w:r>
      <w:proofErr w:type="spellStart"/>
      <w:r w:rsidRPr="00A00866">
        <w:rPr>
          <w:szCs w:val="24"/>
        </w:rPr>
        <w:t>Finacial</w:t>
      </w:r>
      <w:proofErr w:type="spellEnd"/>
      <w:r w:rsidRPr="00A00866">
        <w:rPr>
          <w:szCs w:val="24"/>
        </w:rPr>
        <w:t xml:space="preserve"> Regulations  up to £5 million additional capital spending can be approved by Cabinet on specific projects Where</w:t>
      </w:r>
      <w:r w:rsidR="00FD5FAB">
        <w:rPr>
          <w:szCs w:val="24"/>
        </w:rPr>
        <w:t>:</w:t>
      </w:r>
    </w:p>
    <w:p w14:paraId="7CDE94CC" w14:textId="77777777" w:rsidR="00FD5FAB" w:rsidRDefault="00FD5FAB">
      <w:pPr>
        <w:ind w:left="709"/>
        <w:jc w:val="both"/>
        <w:rPr>
          <w:szCs w:val="24"/>
        </w:rPr>
      </w:pPr>
    </w:p>
    <w:p w14:paraId="680B0878" w14:textId="77777777" w:rsidR="00FD5FAB" w:rsidRDefault="00FD5FAB" w:rsidP="00FD5FAB">
      <w:pPr>
        <w:ind w:left="709"/>
        <w:jc w:val="both"/>
        <w:rPr>
          <w:szCs w:val="24"/>
        </w:rPr>
      </w:pPr>
      <w:r w:rsidRPr="00FD5FAB">
        <w:rPr>
          <w:szCs w:val="24"/>
        </w:rPr>
        <w:t xml:space="preserve">The expenditure is wholly covered by additional external sources and the expenditure is in accordance with at least one of the priorities listed in the capital programme and there are no full year revenue budget effects. </w:t>
      </w:r>
    </w:p>
    <w:p w14:paraId="373D9EC7" w14:textId="77777777" w:rsidR="000F6DDC" w:rsidRDefault="000F6DDC" w:rsidP="00FD5FAB">
      <w:pPr>
        <w:ind w:left="709"/>
        <w:jc w:val="both"/>
        <w:rPr>
          <w:szCs w:val="24"/>
        </w:rPr>
      </w:pPr>
    </w:p>
    <w:p w14:paraId="01FF4D06" w14:textId="0E4DC684" w:rsidR="00FD5FAB" w:rsidRPr="00AF66F2" w:rsidRDefault="00FD5FAB" w:rsidP="002D1F3E">
      <w:pPr>
        <w:ind w:left="709" w:firstLine="11"/>
        <w:jc w:val="both"/>
        <w:rPr>
          <w:szCs w:val="24"/>
        </w:rPr>
      </w:pPr>
      <w:r w:rsidRPr="00FD5FAB">
        <w:rPr>
          <w:szCs w:val="24"/>
        </w:rPr>
        <w:t>The additional capital spending agreed by Cabinet in one financial year does not exceed £20 million</w:t>
      </w:r>
      <w:r>
        <w:rPr>
          <w:szCs w:val="24"/>
        </w:rPr>
        <w:t>.</w:t>
      </w:r>
    </w:p>
    <w:p w14:paraId="50B385D9" w14:textId="77777777" w:rsidR="001C7E35" w:rsidRPr="00AF66F2" w:rsidRDefault="001C7E35">
      <w:pPr>
        <w:jc w:val="both"/>
        <w:rPr>
          <w:szCs w:val="24"/>
        </w:rPr>
      </w:pPr>
    </w:p>
    <w:p w14:paraId="1222B777" w14:textId="3BB3A419" w:rsidR="0054590F" w:rsidRPr="00AF66F2" w:rsidRDefault="00E269CF">
      <w:pPr>
        <w:pStyle w:val="Heading2"/>
        <w:ind w:left="709" w:hanging="709"/>
        <w:jc w:val="both"/>
        <w:rPr>
          <w:sz w:val="24"/>
          <w:szCs w:val="24"/>
        </w:rPr>
      </w:pPr>
      <w:r w:rsidRPr="003634DA">
        <w:rPr>
          <w:b w:val="0"/>
          <w:sz w:val="24"/>
          <w:szCs w:val="24"/>
        </w:rPr>
        <w:t>1</w:t>
      </w:r>
      <w:r w:rsidR="00BC74D1">
        <w:rPr>
          <w:b w:val="0"/>
          <w:sz w:val="24"/>
          <w:szCs w:val="24"/>
        </w:rPr>
        <w:t>2</w:t>
      </w:r>
      <w:r w:rsidRPr="003634DA">
        <w:rPr>
          <w:b w:val="0"/>
          <w:sz w:val="24"/>
          <w:szCs w:val="24"/>
        </w:rPr>
        <w:t>.0</w:t>
      </w:r>
      <w:r w:rsidRPr="00AF66F2">
        <w:rPr>
          <w:sz w:val="24"/>
          <w:szCs w:val="24"/>
        </w:rPr>
        <w:tab/>
      </w:r>
      <w:r w:rsidR="00333FAA" w:rsidRPr="00AF66F2">
        <w:rPr>
          <w:sz w:val="24"/>
          <w:szCs w:val="24"/>
        </w:rPr>
        <w:t>Financial Implications</w:t>
      </w:r>
    </w:p>
    <w:p w14:paraId="7224E0BE" w14:textId="07B0EFF7" w:rsidR="00006B72" w:rsidRPr="00AF66F2" w:rsidRDefault="00E269CF">
      <w:pPr>
        <w:tabs>
          <w:tab w:val="left" w:pos="709"/>
        </w:tabs>
        <w:ind w:left="709" w:hanging="709"/>
        <w:jc w:val="both"/>
        <w:rPr>
          <w:szCs w:val="24"/>
        </w:rPr>
      </w:pPr>
      <w:r w:rsidRPr="00AF66F2">
        <w:rPr>
          <w:szCs w:val="24"/>
        </w:rPr>
        <w:tab/>
      </w:r>
      <w:r w:rsidR="005641E0" w:rsidRPr="00AF66F2">
        <w:rPr>
          <w:szCs w:val="24"/>
        </w:rPr>
        <w:t>Financial matters are integral to this report.</w:t>
      </w:r>
    </w:p>
    <w:p w14:paraId="27F7E21B" w14:textId="77777777" w:rsidR="000B14FE" w:rsidRPr="00A278A7" w:rsidRDefault="000B14FE" w:rsidP="00825AC5">
      <w:pPr>
        <w:jc w:val="both"/>
      </w:pPr>
    </w:p>
    <w:p w14:paraId="7BDD9F0B" w14:textId="42F58AC2" w:rsidR="00333FAA" w:rsidRDefault="00E269CF">
      <w:pPr>
        <w:pStyle w:val="Heading2"/>
        <w:keepNext/>
        <w:ind w:left="709" w:hanging="709"/>
        <w:jc w:val="both"/>
        <w:rPr>
          <w:sz w:val="24"/>
          <w:szCs w:val="24"/>
        </w:rPr>
      </w:pPr>
      <w:r w:rsidRPr="003634DA">
        <w:rPr>
          <w:b w:val="0"/>
          <w:sz w:val="24"/>
          <w:szCs w:val="24"/>
        </w:rPr>
        <w:t>1</w:t>
      </w:r>
      <w:r w:rsidR="00BC74D1">
        <w:rPr>
          <w:b w:val="0"/>
          <w:sz w:val="24"/>
          <w:szCs w:val="24"/>
        </w:rPr>
        <w:t>3.</w:t>
      </w:r>
      <w:r w:rsidRPr="003634DA">
        <w:rPr>
          <w:b w:val="0"/>
          <w:sz w:val="24"/>
          <w:szCs w:val="24"/>
        </w:rPr>
        <w:t>0</w:t>
      </w:r>
      <w:r w:rsidRPr="00AF66F2">
        <w:rPr>
          <w:sz w:val="24"/>
          <w:szCs w:val="24"/>
        </w:rPr>
        <w:tab/>
      </w:r>
      <w:r w:rsidR="00333FAA" w:rsidRPr="00AF66F2">
        <w:rPr>
          <w:sz w:val="24"/>
          <w:szCs w:val="24"/>
        </w:rPr>
        <w:t>Equalities implications</w:t>
      </w:r>
      <w:r w:rsidR="001C7E35" w:rsidRPr="00AF66F2">
        <w:rPr>
          <w:sz w:val="24"/>
          <w:szCs w:val="24"/>
        </w:rPr>
        <w:t xml:space="preserve"> </w:t>
      </w:r>
      <w:r w:rsidR="00333FAA" w:rsidRPr="00AF66F2">
        <w:rPr>
          <w:sz w:val="24"/>
          <w:szCs w:val="24"/>
        </w:rPr>
        <w:t>/</w:t>
      </w:r>
      <w:r w:rsidR="001C7E35" w:rsidRPr="00AF66F2">
        <w:rPr>
          <w:sz w:val="24"/>
          <w:szCs w:val="24"/>
        </w:rPr>
        <w:t xml:space="preserve"> </w:t>
      </w:r>
      <w:r w:rsidR="00333FAA" w:rsidRPr="00AF66F2">
        <w:rPr>
          <w:sz w:val="24"/>
          <w:szCs w:val="24"/>
        </w:rPr>
        <w:t>Public Sector Equality Duty</w:t>
      </w:r>
    </w:p>
    <w:p w14:paraId="64A9E888" w14:textId="77777777" w:rsidR="00990FE6" w:rsidRDefault="00990FE6" w:rsidP="00825AC5">
      <w:pPr>
        <w:ind w:left="709"/>
        <w:jc w:val="both"/>
      </w:pPr>
      <w: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4AA111" w14:textId="77777777" w:rsidR="00990FE6" w:rsidRDefault="00990FE6" w:rsidP="00825AC5">
      <w:pPr>
        <w:ind w:left="709"/>
        <w:jc w:val="both"/>
      </w:pPr>
    </w:p>
    <w:p w14:paraId="7B11E615" w14:textId="77777777" w:rsidR="00990FE6" w:rsidRDefault="00990FE6" w:rsidP="00825AC5">
      <w:pPr>
        <w:ind w:left="709"/>
        <w:jc w:val="both"/>
      </w:pPr>
      <w:r>
        <w:t>A public authority must, in the exercise of its functions, have due regard to the need to:</w:t>
      </w:r>
    </w:p>
    <w:p w14:paraId="78B4BCD2" w14:textId="10DBA6BF" w:rsidR="00990FE6" w:rsidRDefault="00990FE6" w:rsidP="00825AC5">
      <w:pPr>
        <w:pStyle w:val="ListParagraph"/>
        <w:numPr>
          <w:ilvl w:val="0"/>
          <w:numId w:val="47"/>
        </w:numPr>
        <w:jc w:val="both"/>
      </w:pPr>
      <w:r>
        <w:t>eliminate discrimination, harassment, victimisation and any other conduct that is prohibited by or under this Act;</w:t>
      </w:r>
    </w:p>
    <w:p w14:paraId="48BCB49B" w14:textId="1A723A80" w:rsidR="00990FE6" w:rsidRDefault="00990FE6" w:rsidP="00825AC5">
      <w:pPr>
        <w:pStyle w:val="ListParagraph"/>
        <w:numPr>
          <w:ilvl w:val="0"/>
          <w:numId w:val="47"/>
        </w:numPr>
        <w:jc w:val="both"/>
      </w:pPr>
      <w:r>
        <w:t>advance equality of opportunity between persons who share a relevant protected characteristic and persons who do not share it;</w:t>
      </w:r>
    </w:p>
    <w:p w14:paraId="0A6982F1" w14:textId="2B3AFF97" w:rsidR="00990FE6" w:rsidRDefault="00990FE6" w:rsidP="00825AC5">
      <w:pPr>
        <w:pStyle w:val="ListParagraph"/>
        <w:numPr>
          <w:ilvl w:val="0"/>
          <w:numId w:val="47"/>
        </w:numPr>
        <w:jc w:val="both"/>
      </w:pPr>
      <w:r>
        <w:t>Foster good relations between persons who share a relevant protected characteristic and persons who do not share it.</w:t>
      </w:r>
    </w:p>
    <w:p w14:paraId="39FA844C" w14:textId="77777777" w:rsidR="00560DEF" w:rsidRDefault="00560DEF" w:rsidP="00825AC5">
      <w:pPr>
        <w:pStyle w:val="ListParagraph"/>
        <w:ind w:left="1429"/>
        <w:jc w:val="both"/>
      </w:pPr>
    </w:p>
    <w:p w14:paraId="0CD108DB" w14:textId="77777777" w:rsidR="00990FE6" w:rsidRDefault="00990FE6" w:rsidP="00825AC5">
      <w:pPr>
        <w:ind w:left="709"/>
        <w:jc w:val="both"/>
      </w:pPr>
      <w:r>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Default="00560DEF" w:rsidP="00825AC5">
      <w:pPr>
        <w:ind w:left="709"/>
        <w:jc w:val="both"/>
      </w:pPr>
    </w:p>
    <w:p w14:paraId="4A4D80F7" w14:textId="116C1B73" w:rsidR="00990FE6" w:rsidRDefault="00990FE6" w:rsidP="00825AC5">
      <w:pPr>
        <w:pStyle w:val="ListParagraph"/>
        <w:numPr>
          <w:ilvl w:val="0"/>
          <w:numId w:val="48"/>
        </w:numPr>
        <w:jc w:val="both"/>
      </w:pPr>
      <w:r>
        <w:t>remove or minimise disadvantages suffered by persons who share a relevant protected characteristic that are connected to that characteristic;</w:t>
      </w:r>
    </w:p>
    <w:p w14:paraId="1A59618B" w14:textId="7B65CB36" w:rsidR="00990FE6" w:rsidRDefault="00990FE6" w:rsidP="00825AC5">
      <w:pPr>
        <w:pStyle w:val="ListParagraph"/>
        <w:numPr>
          <w:ilvl w:val="0"/>
          <w:numId w:val="48"/>
        </w:numPr>
        <w:jc w:val="both"/>
      </w:pPr>
      <w:r>
        <w:t>take steps to meet the needs of persons who share a relevant protected characteristic that are different from the needs of persons who do not share it;</w:t>
      </w:r>
    </w:p>
    <w:p w14:paraId="71FFD4DB" w14:textId="0B31DEEA" w:rsidR="00990FE6" w:rsidRDefault="00990FE6" w:rsidP="00825AC5">
      <w:pPr>
        <w:pStyle w:val="ListParagraph"/>
        <w:numPr>
          <w:ilvl w:val="0"/>
          <w:numId w:val="48"/>
        </w:numPr>
        <w:jc w:val="both"/>
      </w:pPr>
      <w:r>
        <w:t>Encourage persons who share a relevant protected characteristic to participate in public life or in any other activity in which participation by such persons is disproportionately low.</w:t>
      </w:r>
    </w:p>
    <w:p w14:paraId="7E95BAB5" w14:textId="77777777" w:rsidR="00990FE6" w:rsidRDefault="00990FE6" w:rsidP="00825AC5">
      <w:pPr>
        <w:ind w:left="1418"/>
        <w:jc w:val="both"/>
      </w:pPr>
      <w:r>
        <w:t>The steps involved in meeting the needs of disabled persons that are different from the needs of persons who are not disabled include, in particular, steps to take account of disabled persons’ disabilities.</w:t>
      </w:r>
    </w:p>
    <w:p w14:paraId="5128BA33" w14:textId="77777777" w:rsidR="00990FE6" w:rsidRDefault="00990FE6" w:rsidP="00825AC5">
      <w:pPr>
        <w:ind w:left="1418"/>
        <w:jc w:val="both"/>
      </w:pPr>
      <w:r>
        <w:t>Having due regard to the need to foster good relations between persons who share a relevant protected characteristic and persons who do not share it involves having due regard, in particular, to the need to:</w:t>
      </w:r>
    </w:p>
    <w:p w14:paraId="227C0787" w14:textId="51F4CDD1" w:rsidR="00990FE6" w:rsidRDefault="00990FE6" w:rsidP="00825AC5">
      <w:pPr>
        <w:pStyle w:val="ListParagraph"/>
        <w:numPr>
          <w:ilvl w:val="0"/>
          <w:numId w:val="50"/>
        </w:numPr>
        <w:jc w:val="both"/>
      </w:pPr>
      <w:r>
        <w:t>Tackle prejudice, and</w:t>
      </w:r>
    </w:p>
    <w:p w14:paraId="0B398716" w14:textId="3788BD7E" w:rsidR="00990FE6" w:rsidRDefault="00990FE6" w:rsidP="00825AC5">
      <w:pPr>
        <w:pStyle w:val="ListParagraph"/>
        <w:numPr>
          <w:ilvl w:val="0"/>
          <w:numId w:val="49"/>
        </w:numPr>
        <w:jc w:val="both"/>
      </w:pPr>
      <w:r>
        <w:t>Promote understanding.</w:t>
      </w:r>
    </w:p>
    <w:p w14:paraId="34E6AD96" w14:textId="77777777" w:rsidR="007C5702" w:rsidRDefault="007C5702" w:rsidP="00825AC5">
      <w:pPr>
        <w:pStyle w:val="ListParagraph"/>
        <w:ind w:left="1429"/>
        <w:jc w:val="both"/>
      </w:pPr>
    </w:p>
    <w:p w14:paraId="38FFFD95" w14:textId="77777777" w:rsidR="00990FE6" w:rsidRDefault="00990FE6" w:rsidP="00825AC5">
      <w:pPr>
        <w:ind w:left="709"/>
        <w:jc w:val="both"/>
      </w:pPr>
      <w:r>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Default="00990FE6" w:rsidP="00825AC5">
      <w:pPr>
        <w:ind w:left="1134"/>
        <w:jc w:val="both"/>
      </w:pPr>
      <w:r>
        <w:t>•</w:t>
      </w:r>
      <w:r>
        <w:tab/>
        <w:t>Age</w:t>
      </w:r>
    </w:p>
    <w:p w14:paraId="2ED037E6" w14:textId="77777777" w:rsidR="00990FE6" w:rsidRDefault="00990FE6" w:rsidP="00825AC5">
      <w:pPr>
        <w:ind w:left="1134"/>
        <w:jc w:val="both"/>
      </w:pPr>
      <w:r>
        <w:t>•</w:t>
      </w:r>
      <w:r>
        <w:tab/>
        <w:t>Disability</w:t>
      </w:r>
    </w:p>
    <w:p w14:paraId="04FD4D12" w14:textId="77777777" w:rsidR="00990FE6" w:rsidRDefault="00990FE6" w:rsidP="00825AC5">
      <w:pPr>
        <w:ind w:left="1134"/>
        <w:jc w:val="both"/>
      </w:pPr>
      <w:r>
        <w:lastRenderedPageBreak/>
        <w:t>•</w:t>
      </w:r>
      <w:r>
        <w:tab/>
        <w:t>Gender reassignment</w:t>
      </w:r>
    </w:p>
    <w:p w14:paraId="04826F34" w14:textId="77777777" w:rsidR="00990FE6" w:rsidRDefault="00990FE6" w:rsidP="00825AC5">
      <w:pPr>
        <w:ind w:left="1134"/>
        <w:jc w:val="both"/>
      </w:pPr>
      <w:r>
        <w:t>•</w:t>
      </w:r>
      <w:r>
        <w:tab/>
        <w:t>Pregnancy and maternity</w:t>
      </w:r>
    </w:p>
    <w:p w14:paraId="1AF0D231" w14:textId="77777777" w:rsidR="00990FE6" w:rsidRDefault="00990FE6" w:rsidP="00825AC5">
      <w:pPr>
        <w:ind w:left="1134"/>
        <w:jc w:val="both"/>
      </w:pPr>
      <w:r>
        <w:t>•</w:t>
      </w:r>
      <w:r>
        <w:tab/>
        <w:t>Race,</w:t>
      </w:r>
    </w:p>
    <w:p w14:paraId="23BC7366" w14:textId="77777777" w:rsidR="00990FE6" w:rsidRDefault="00990FE6" w:rsidP="00825AC5">
      <w:pPr>
        <w:ind w:left="1134"/>
        <w:jc w:val="both"/>
      </w:pPr>
      <w:r>
        <w:t>•</w:t>
      </w:r>
      <w:r>
        <w:tab/>
        <w:t>Religion or belief</w:t>
      </w:r>
    </w:p>
    <w:p w14:paraId="0FA3E27B" w14:textId="77777777" w:rsidR="00990FE6" w:rsidRDefault="00990FE6" w:rsidP="00825AC5">
      <w:pPr>
        <w:ind w:left="1134"/>
        <w:jc w:val="both"/>
      </w:pPr>
      <w:r>
        <w:t>•</w:t>
      </w:r>
      <w:r>
        <w:tab/>
        <w:t>Sex</w:t>
      </w:r>
    </w:p>
    <w:p w14:paraId="1D3434AB" w14:textId="77777777" w:rsidR="00990FE6" w:rsidRDefault="00990FE6" w:rsidP="00825AC5">
      <w:pPr>
        <w:ind w:left="1134"/>
        <w:jc w:val="both"/>
      </w:pPr>
      <w:r>
        <w:t>•</w:t>
      </w:r>
      <w:r>
        <w:tab/>
        <w:t>Sexual orientation</w:t>
      </w:r>
    </w:p>
    <w:p w14:paraId="76D54F7F" w14:textId="77777777" w:rsidR="00990FE6" w:rsidRDefault="00990FE6" w:rsidP="00825AC5">
      <w:pPr>
        <w:ind w:left="1134"/>
        <w:jc w:val="both"/>
      </w:pPr>
      <w:r>
        <w:t>•</w:t>
      </w:r>
      <w:r>
        <w:tab/>
        <w:t>Marriage and Civil partnership</w:t>
      </w:r>
    </w:p>
    <w:p w14:paraId="31CB75A3" w14:textId="77777777" w:rsidR="00006B72" w:rsidRDefault="00006B72" w:rsidP="00825AC5">
      <w:pPr>
        <w:ind w:left="1134"/>
        <w:jc w:val="both"/>
      </w:pPr>
    </w:p>
    <w:p w14:paraId="002B6C80" w14:textId="77777777" w:rsidR="0054590F" w:rsidRDefault="005641E0">
      <w:pPr>
        <w:ind w:left="709"/>
        <w:jc w:val="both"/>
        <w:rPr>
          <w:szCs w:val="24"/>
        </w:rPr>
      </w:pPr>
      <w:bookmarkStart w:id="1" w:name="LastEdit"/>
      <w:bookmarkEnd w:id="1"/>
      <w:r w:rsidRPr="00AF66F2">
        <w:rPr>
          <w:szCs w:val="24"/>
        </w:rPr>
        <w:t>Eq</w:t>
      </w:r>
      <w:r w:rsidR="007647E7">
        <w:rPr>
          <w:szCs w:val="24"/>
        </w:rPr>
        <w:t>uality assessment</w:t>
      </w:r>
      <w:r w:rsidRPr="00AF66F2">
        <w:rPr>
          <w:szCs w:val="24"/>
        </w:rPr>
        <w:t>s were undertaken for proposals where relevant</w:t>
      </w:r>
      <w:r w:rsidR="007647E7">
        <w:rPr>
          <w:szCs w:val="24"/>
        </w:rPr>
        <w:t>,</w:t>
      </w:r>
      <w:r w:rsidRPr="00AF66F2">
        <w:rPr>
          <w:szCs w:val="24"/>
        </w:rPr>
        <w:t xml:space="preserve"> in relation to </w:t>
      </w:r>
      <w:r w:rsidR="007647E7">
        <w:rPr>
          <w:szCs w:val="24"/>
        </w:rPr>
        <w:t xml:space="preserve">both </w:t>
      </w:r>
      <w:r w:rsidRPr="00AF66F2">
        <w:rPr>
          <w:szCs w:val="24"/>
        </w:rPr>
        <w:t xml:space="preserve">the proposals listed as part of the MTFS process and an overall </w:t>
      </w:r>
      <w:r w:rsidR="007647E7">
        <w:rPr>
          <w:szCs w:val="24"/>
        </w:rPr>
        <w:t>e</w:t>
      </w:r>
      <w:r w:rsidRPr="00AF66F2">
        <w:rPr>
          <w:szCs w:val="24"/>
        </w:rPr>
        <w:t>q</w:t>
      </w:r>
      <w:r w:rsidR="007647E7">
        <w:rPr>
          <w:szCs w:val="24"/>
        </w:rPr>
        <w:t>uality assessment</w:t>
      </w:r>
      <w:r w:rsidRPr="00AF66F2">
        <w:rPr>
          <w:szCs w:val="24"/>
        </w:rPr>
        <w:t xml:space="preserve"> was undertaken on the MTFS. It is not considered that this report will have any further equality implications</w:t>
      </w:r>
      <w:r w:rsidR="007647E7">
        <w:rPr>
          <w:szCs w:val="24"/>
        </w:rPr>
        <w:t>.</w:t>
      </w:r>
    </w:p>
    <w:p w14:paraId="1CEE1596" w14:textId="77777777" w:rsidR="007647E7" w:rsidRDefault="007647E7">
      <w:pPr>
        <w:ind w:left="709"/>
        <w:jc w:val="both"/>
        <w:rPr>
          <w:szCs w:val="24"/>
        </w:rPr>
      </w:pPr>
    </w:p>
    <w:p w14:paraId="077E6F5B" w14:textId="0816EB2E" w:rsidR="00333FAA" w:rsidRPr="00AF66F2" w:rsidRDefault="00E269CF" w:rsidP="00825AC5">
      <w:pPr>
        <w:ind w:left="709" w:hanging="709"/>
        <w:jc w:val="both"/>
        <w:rPr>
          <w:b/>
          <w:szCs w:val="24"/>
        </w:rPr>
      </w:pPr>
      <w:r w:rsidRPr="003634DA">
        <w:rPr>
          <w:szCs w:val="24"/>
        </w:rPr>
        <w:t>1</w:t>
      </w:r>
      <w:r w:rsidR="00BC74D1">
        <w:rPr>
          <w:szCs w:val="24"/>
        </w:rPr>
        <w:t>4</w:t>
      </w:r>
      <w:r w:rsidRPr="003634DA">
        <w:rPr>
          <w:szCs w:val="24"/>
        </w:rPr>
        <w:t>.0</w:t>
      </w:r>
      <w:r w:rsidRPr="00AF66F2">
        <w:rPr>
          <w:b/>
          <w:szCs w:val="24"/>
        </w:rPr>
        <w:tab/>
      </w:r>
      <w:r w:rsidR="00333FAA" w:rsidRPr="00AF66F2">
        <w:rPr>
          <w:b/>
          <w:szCs w:val="24"/>
        </w:rPr>
        <w:t>Council Priorities</w:t>
      </w:r>
      <w:r w:rsidR="002A360B">
        <w:rPr>
          <w:b/>
          <w:szCs w:val="24"/>
        </w:rPr>
        <w:t xml:space="preserve"> are:</w:t>
      </w:r>
    </w:p>
    <w:p w14:paraId="652ADB69" w14:textId="54039530" w:rsidR="005641E0" w:rsidRPr="00AF66F2" w:rsidRDefault="005641E0" w:rsidP="00825AC5">
      <w:pPr>
        <w:ind w:left="709"/>
        <w:jc w:val="both"/>
        <w:rPr>
          <w:szCs w:val="24"/>
        </w:rPr>
      </w:pPr>
    </w:p>
    <w:p w14:paraId="79E37CFE" w14:textId="132EFD74" w:rsidR="002A360B" w:rsidRPr="002A360B" w:rsidRDefault="002A360B" w:rsidP="002A360B">
      <w:pPr>
        <w:ind w:left="709"/>
        <w:jc w:val="both"/>
        <w:rPr>
          <w:szCs w:val="24"/>
        </w:rPr>
      </w:pPr>
      <w:r>
        <w:rPr>
          <w:szCs w:val="24"/>
        </w:rPr>
        <w:t xml:space="preserve">●    </w:t>
      </w:r>
      <w:r w:rsidRPr="002A360B">
        <w:rPr>
          <w:szCs w:val="24"/>
        </w:rPr>
        <w:t>Supporting Those Most in Need</w:t>
      </w:r>
    </w:p>
    <w:p w14:paraId="273F04A7" w14:textId="3ECBF11F" w:rsidR="002A360B" w:rsidRPr="002A360B" w:rsidRDefault="002A360B" w:rsidP="002A360B">
      <w:pPr>
        <w:ind w:left="709"/>
        <w:jc w:val="both"/>
        <w:rPr>
          <w:szCs w:val="24"/>
        </w:rPr>
      </w:pPr>
      <w:r>
        <w:rPr>
          <w:szCs w:val="24"/>
        </w:rPr>
        <w:t xml:space="preserve">●    </w:t>
      </w:r>
      <w:r w:rsidRPr="002A360B">
        <w:rPr>
          <w:szCs w:val="24"/>
        </w:rPr>
        <w:t>Protecting Vital Public Services</w:t>
      </w:r>
    </w:p>
    <w:p w14:paraId="37A22F32" w14:textId="3A511C62" w:rsidR="002A360B" w:rsidRPr="002A360B" w:rsidRDefault="002A360B" w:rsidP="002A360B">
      <w:pPr>
        <w:ind w:left="709"/>
        <w:jc w:val="both"/>
        <w:rPr>
          <w:szCs w:val="24"/>
        </w:rPr>
      </w:pPr>
      <w:r>
        <w:rPr>
          <w:szCs w:val="24"/>
        </w:rPr>
        <w:t xml:space="preserve">●    </w:t>
      </w:r>
      <w:r w:rsidRPr="002A360B">
        <w:rPr>
          <w:szCs w:val="24"/>
        </w:rPr>
        <w:t>Delivering a Strong Local Economy for All</w:t>
      </w:r>
    </w:p>
    <w:p w14:paraId="383026EF" w14:textId="7A4DA402" w:rsidR="005641E0" w:rsidRPr="00AF66F2" w:rsidRDefault="002A360B" w:rsidP="002A360B">
      <w:pPr>
        <w:ind w:left="709"/>
        <w:jc w:val="both"/>
        <w:rPr>
          <w:szCs w:val="24"/>
        </w:rPr>
      </w:pPr>
      <w:r>
        <w:rPr>
          <w:szCs w:val="24"/>
        </w:rPr>
        <w:t xml:space="preserve">●    </w:t>
      </w:r>
      <w:r w:rsidRPr="002A360B">
        <w:rPr>
          <w:szCs w:val="24"/>
        </w:rPr>
        <w:t>Modernising Harrow Council</w:t>
      </w:r>
    </w:p>
    <w:p w14:paraId="3C91FDA7" w14:textId="77777777" w:rsidR="00307F76" w:rsidRDefault="00307F76" w:rsidP="00825AC5">
      <w:pPr>
        <w:jc w:val="both"/>
        <w:rPr>
          <w:rFonts w:cs="Arial"/>
        </w:rPr>
      </w:pPr>
    </w:p>
    <w:p w14:paraId="47BCC815" w14:textId="7AEFC30B" w:rsidR="00333FAA" w:rsidRDefault="00333FAA" w:rsidP="00825AC5">
      <w:pPr>
        <w:pStyle w:val="Heading1"/>
        <w:keepNext/>
        <w:jc w:val="both"/>
      </w:pPr>
      <w:r>
        <w:t>Section 3 - Statutory Officer Clearance</w:t>
      </w:r>
    </w:p>
    <w:p w14:paraId="3054B45B" w14:textId="77777777" w:rsidR="00333FAA" w:rsidRDefault="00333FAA" w:rsidP="00825AC5">
      <w:pPr>
        <w:keepNext/>
        <w:jc w:val="both"/>
        <w:rPr>
          <w:rFonts w:cs="Arial"/>
        </w:rPr>
      </w:pPr>
    </w:p>
    <w:tbl>
      <w:tblPr>
        <w:tblW w:w="52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830"/>
        <w:gridCol w:w="364"/>
        <w:gridCol w:w="3761"/>
      </w:tblGrid>
      <w:tr w:rsidR="00333FAA" w14:paraId="53182106" w14:textId="77777777" w:rsidTr="003634DA">
        <w:tc>
          <w:tcPr>
            <w:tcW w:w="4730" w:type="dxa"/>
            <w:tcBorders>
              <w:bottom w:val="nil"/>
              <w:right w:val="nil"/>
            </w:tcBorders>
          </w:tcPr>
          <w:p w14:paraId="3C97E206" w14:textId="3927092B" w:rsidR="00333FAA" w:rsidRDefault="00333FAA" w:rsidP="00825AC5">
            <w:pPr>
              <w:pStyle w:val="Infotext"/>
              <w:jc w:val="both"/>
            </w:pPr>
          </w:p>
          <w:p w14:paraId="29C6C74A" w14:textId="77777777" w:rsidR="00333FAA" w:rsidRDefault="00333FAA" w:rsidP="00825AC5">
            <w:pPr>
              <w:pStyle w:val="Infotext"/>
              <w:jc w:val="both"/>
            </w:pPr>
          </w:p>
        </w:tc>
        <w:tc>
          <w:tcPr>
            <w:tcW w:w="850" w:type="dxa"/>
            <w:tcBorders>
              <w:left w:val="nil"/>
              <w:right w:val="nil"/>
            </w:tcBorders>
          </w:tcPr>
          <w:p w14:paraId="49D823D2" w14:textId="77777777" w:rsidR="00333FAA" w:rsidRDefault="00333FAA" w:rsidP="00825AC5">
            <w:pPr>
              <w:pStyle w:val="Infotext"/>
              <w:jc w:val="both"/>
            </w:pPr>
          </w:p>
        </w:tc>
        <w:tc>
          <w:tcPr>
            <w:tcW w:w="368" w:type="dxa"/>
            <w:tcBorders>
              <w:left w:val="nil"/>
              <w:bottom w:val="nil"/>
              <w:right w:val="nil"/>
            </w:tcBorders>
          </w:tcPr>
          <w:p w14:paraId="03E30323" w14:textId="77777777" w:rsidR="00333FAA" w:rsidRDefault="00333FAA" w:rsidP="00825AC5">
            <w:pPr>
              <w:pStyle w:val="Infotext"/>
              <w:jc w:val="both"/>
            </w:pPr>
          </w:p>
        </w:tc>
        <w:tc>
          <w:tcPr>
            <w:tcW w:w="3882" w:type="dxa"/>
            <w:tcBorders>
              <w:left w:val="nil"/>
              <w:bottom w:val="nil"/>
            </w:tcBorders>
          </w:tcPr>
          <w:p w14:paraId="36FC1302" w14:textId="77777777" w:rsidR="00333FAA" w:rsidRDefault="00333FAA" w:rsidP="00825AC5">
            <w:pPr>
              <w:pStyle w:val="Infotext"/>
              <w:jc w:val="both"/>
            </w:pPr>
          </w:p>
          <w:p w14:paraId="7F71FD87" w14:textId="77777777" w:rsidR="00333FAA" w:rsidRDefault="00333FAA" w:rsidP="00825AC5">
            <w:pPr>
              <w:pStyle w:val="Infotext"/>
              <w:jc w:val="both"/>
            </w:pPr>
          </w:p>
        </w:tc>
      </w:tr>
      <w:tr w:rsidR="00333FAA" w14:paraId="7DF88A59" w14:textId="77777777" w:rsidTr="003634DA">
        <w:tc>
          <w:tcPr>
            <w:tcW w:w="4730" w:type="dxa"/>
            <w:tcBorders>
              <w:top w:val="nil"/>
              <w:bottom w:val="nil"/>
            </w:tcBorders>
          </w:tcPr>
          <w:p w14:paraId="5FB7BC1E" w14:textId="77777777" w:rsidR="00333FAA" w:rsidRDefault="00333FAA" w:rsidP="00825AC5">
            <w:pPr>
              <w:pStyle w:val="Infotext"/>
              <w:jc w:val="both"/>
            </w:pPr>
            <w:r>
              <w:t>Name:</w:t>
            </w:r>
            <w:r w:rsidR="00DB6C3D">
              <w:t xml:space="preserve"> </w:t>
            </w:r>
            <w:r w:rsidR="00A20D78">
              <w:t xml:space="preserve"> </w:t>
            </w:r>
            <w:r w:rsidR="00CA2FF3" w:rsidRPr="00CA2FF3">
              <w:t>Dawn Calvert</w:t>
            </w:r>
          </w:p>
        </w:tc>
        <w:tc>
          <w:tcPr>
            <w:tcW w:w="850" w:type="dxa"/>
            <w:tcBorders>
              <w:bottom w:val="single" w:sz="4" w:space="0" w:color="auto"/>
            </w:tcBorders>
          </w:tcPr>
          <w:p w14:paraId="26B8BC0B" w14:textId="29F29380" w:rsidR="00333FAA" w:rsidRDefault="000C2B5C" w:rsidP="00825AC5">
            <w:pPr>
              <w:pStyle w:val="Infotext"/>
              <w:jc w:val="both"/>
            </w:pPr>
            <w:r>
              <w:t xml:space="preserve">   </w:t>
            </w:r>
            <w:r w:rsidR="00E62B23">
              <w:t>x</w:t>
            </w:r>
          </w:p>
        </w:tc>
        <w:tc>
          <w:tcPr>
            <w:tcW w:w="368" w:type="dxa"/>
            <w:tcBorders>
              <w:top w:val="nil"/>
              <w:bottom w:val="nil"/>
              <w:right w:val="nil"/>
            </w:tcBorders>
          </w:tcPr>
          <w:p w14:paraId="1812B01D" w14:textId="77777777" w:rsidR="00333FAA" w:rsidRDefault="00333FAA" w:rsidP="00825AC5">
            <w:pPr>
              <w:pStyle w:val="Infotext"/>
              <w:jc w:val="both"/>
            </w:pPr>
          </w:p>
        </w:tc>
        <w:tc>
          <w:tcPr>
            <w:tcW w:w="3882" w:type="dxa"/>
            <w:tcBorders>
              <w:top w:val="nil"/>
              <w:left w:val="nil"/>
              <w:bottom w:val="nil"/>
            </w:tcBorders>
          </w:tcPr>
          <w:p w14:paraId="1FFB1244" w14:textId="5A1154E3" w:rsidR="00333FAA" w:rsidRDefault="00CA2FF3" w:rsidP="00825AC5">
            <w:pPr>
              <w:pStyle w:val="Infotext"/>
              <w:jc w:val="both"/>
            </w:pPr>
            <w:r>
              <w:t xml:space="preserve">Director of </w:t>
            </w:r>
            <w:r w:rsidR="00333FAA">
              <w:t>Financ</w:t>
            </w:r>
            <w:r w:rsidR="00ED7104">
              <w:t>e</w:t>
            </w:r>
          </w:p>
        </w:tc>
      </w:tr>
      <w:tr w:rsidR="00333FAA" w14:paraId="7EFB64CF" w14:textId="77777777" w:rsidTr="003634DA">
        <w:tc>
          <w:tcPr>
            <w:tcW w:w="4730" w:type="dxa"/>
            <w:tcBorders>
              <w:top w:val="nil"/>
              <w:right w:val="nil"/>
            </w:tcBorders>
          </w:tcPr>
          <w:p w14:paraId="42E07BC2" w14:textId="77777777" w:rsidR="00333FAA" w:rsidRDefault="00333FAA" w:rsidP="00825AC5">
            <w:pPr>
              <w:pStyle w:val="Infotext"/>
              <w:jc w:val="both"/>
            </w:pPr>
            <w:r>
              <w:t xml:space="preserve"> </w:t>
            </w:r>
          </w:p>
          <w:p w14:paraId="38F88BE2" w14:textId="429B6C6A" w:rsidR="00333FAA" w:rsidRDefault="00333FAA" w:rsidP="00825AC5">
            <w:pPr>
              <w:pStyle w:val="Infotext"/>
              <w:jc w:val="both"/>
            </w:pPr>
            <w:r>
              <w:t xml:space="preserve">Date: </w:t>
            </w:r>
            <w:r w:rsidR="00A20D78">
              <w:t xml:space="preserve"> </w:t>
            </w:r>
            <w:r w:rsidR="00CF3F95">
              <w:t>19</w:t>
            </w:r>
            <w:r w:rsidR="00E62B23">
              <w:t>/1</w:t>
            </w:r>
            <w:r w:rsidR="00CF3F95">
              <w:t>2</w:t>
            </w:r>
            <w:r w:rsidR="00E62B23">
              <w:t>/2019</w:t>
            </w:r>
          </w:p>
        </w:tc>
        <w:tc>
          <w:tcPr>
            <w:tcW w:w="850" w:type="dxa"/>
            <w:tcBorders>
              <w:left w:val="nil"/>
              <w:bottom w:val="single" w:sz="4" w:space="0" w:color="auto"/>
              <w:right w:val="nil"/>
            </w:tcBorders>
          </w:tcPr>
          <w:p w14:paraId="321B1EBD" w14:textId="77777777" w:rsidR="00333FAA" w:rsidRDefault="00333FAA" w:rsidP="00825AC5">
            <w:pPr>
              <w:pStyle w:val="Infotext"/>
              <w:jc w:val="both"/>
            </w:pPr>
          </w:p>
        </w:tc>
        <w:tc>
          <w:tcPr>
            <w:tcW w:w="368" w:type="dxa"/>
            <w:tcBorders>
              <w:top w:val="nil"/>
              <w:left w:val="nil"/>
              <w:right w:val="nil"/>
            </w:tcBorders>
          </w:tcPr>
          <w:p w14:paraId="557716FE" w14:textId="77777777" w:rsidR="00333FAA" w:rsidRDefault="00333FAA" w:rsidP="00825AC5">
            <w:pPr>
              <w:pStyle w:val="Infotext"/>
              <w:jc w:val="both"/>
            </w:pPr>
          </w:p>
        </w:tc>
        <w:tc>
          <w:tcPr>
            <w:tcW w:w="3882" w:type="dxa"/>
            <w:tcBorders>
              <w:top w:val="nil"/>
              <w:left w:val="nil"/>
            </w:tcBorders>
          </w:tcPr>
          <w:p w14:paraId="54BA0269" w14:textId="77777777" w:rsidR="00333FAA" w:rsidRDefault="00333FAA" w:rsidP="00825AC5">
            <w:pPr>
              <w:pStyle w:val="Infotext"/>
              <w:jc w:val="both"/>
            </w:pPr>
          </w:p>
        </w:tc>
      </w:tr>
      <w:tr w:rsidR="00333FAA" w14:paraId="1D88B398" w14:textId="77777777" w:rsidTr="003634DA">
        <w:tc>
          <w:tcPr>
            <w:tcW w:w="4730" w:type="dxa"/>
            <w:tcBorders>
              <w:bottom w:val="nil"/>
              <w:right w:val="nil"/>
            </w:tcBorders>
          </w:tcPr>
          <w:p w14:paraId="6CAE6356" w14:textId="77777777" w:rsidR="00333FAA" w:rsidRDefault="00333FAA" w:rsidP="00825AC5">
            <w:pPr>
              <w:pStyle w:val="Infotext"/>
              <w:jc w:val="both"/>
            </w:pPr>
          </w:p>
        </w:tc>
        <w:tc>
          <w:tcPr>
            <w:tcW w:w="850" w:type="dxa"/>
            <w:tcBorders>
              <w:left w:val="nil"/>
              <w:right w:val="nil"/>
            </w:tcBorders>
          </w:tcPr>
          <w:p w14:paraId="7925C3E3" w14:textId="77777777" w:rsidR="00333FAA" w:rsidRDefault="00333FAA" w:rsidP="00825AC5">
            <w:pPr>
              <w:pStyle w:val="Infotext"/>
              <w:jc w:val="both"/>
            </w:pPr>
          </w:p>
        </w:tc>
        <w:tc>
          <w:tcPr>
            <w:tcW w:w="368" w:type="dxa"/>
            <w:tcBorders>
              <w:left w:val="nil"/>
              <w:bottom w:val="nil"/>
              <w:right w:val="nil"/>
            </w:tcBorders>
          </w:tcPr>
          <w:p w14:paraId="38D8E004" w14:textId="77777777" w:rsidR="00333FAA" w:rsidRDefault="00333FAA" w:rsidP="00825AC5">
            <w:pPr>
              <w:pStyle w:val="Infotext"/>
              <w:jc w:val="both"/>
            </w:pPr>
          </w:p>
        </w:tc>
        <w:tc>
          <w:tcPr>
            <w:tcW w:w="3882" w:type="dxa"/>
            <w:tcBorders>
              <w:left w:val="nil"/>
              <w:bottom w:val="nil"/>
            </w:tcBorders>
          </w:tcPr>
          <w:p w14:paraId="7316B95D" w14:textId="77777777" w:rsidR="00333FAA" w:rsidRDefault="00333FAA" w:rsidP="00825AC5">
            <w:pPr>
              <w:pStyle w:val="Infotext"/>
              <w:jc w:val="both"/>
            </w:pPr>
          </w:p>
          <w:p w14:paraId="49D222AA" w14:textId="77777777" w:rsidR="00333FAA" w:rsidRDefault="00333FAA" w:rsidP="00825AC5">
            <w:pPr>
              <w:pStyle w:val="Infotext"/>
              <w:jc w:val="both"/>
            </w:pPr>
            <w:r>
              <w:t>on behalf of the</w:t>
            </w:r>
            <w:r w:rsidR="001966D7">
              <w:t xml:space="preserve"> </w:t>
            </w:r>
          </w:p>
        </w:tc>
      </w:tr>
      <w:tr w:rsidR="00333FAA" w14:paraId="0B53F03E" w14:textId="77777777" w:rsidTr="003634DA">
        <w:tc>
          <w:tcPr>
            <w:tcW w:w="4730" w:type="dxa"/>
            <w:tcBorders>
              <w:top w:val="nil"/>
              <w:bottom w:val="nil"/>
            </w:tcBorders>
          </w:tcPr>
          <w:p w14:paraId="205E8DE9" w14:textId="57E90D4A" w:rsidR="00333FAA" w:rsidRDefault="00333FAA" w:rsidP="00825AC5">
            <w:pPr>
              <w:pStyle w:val="Infotext"/>
              <w:jc w:val="both"/>
            </w:pPr>
            <w:r>
              <w:t xml:space="preserve">Name: </w:t>
            </w:r>
            <w:r w:rsidR="00A20D78">
              <w:t xml:space="preserve"> </w:t>
            </w:r>
            <w:r w:rsidR="001D7456">
              <w:t>Jessica Farmer</w:t>
            </w:r>
          </w:p>
        </w:tc>
        <w:tc>
          <w:tcPr>
            <w:tcW w:w="850" w:type="dxa"/>
            <w:tcBorders>
              <w:bottom w:val="single" w:sz="4" w:space="0" w:color="auto"/>
            </w:tcBorders>
          </w:tcPr>
          <w:p w14:paraId="6676E641" w14:textId="42BFD4F5" w:rsidR="00333FAA" w:rsidRDefault="006C5ED7" w:rsidP="00825AC5">
            <w:pPr>
              <w:pStyle w:val="Infotext"/>
              <w:jc w:val="both"/>
            </w:pPr>
            <w:r>
              <w:t xml:space="preserve"> </w:t>
            </w:r>
            <w:r w:rsidR="00886690">
              <w:t>X</w:t>
            </w:r>
          </w:p>
        </w:tc>
        <w:tc>
          <w:tcPr>
            <w:tcW w:w="368" w:type="dxa"/>
            <w:tcBorders>
              <w:top w:val="nil"/>
              <w:bottom w:val="nil"/>
              <w:right w:val="nil"/>
            </w:tcBorders>
          </w:tcPr>
          <w:p w14:paraId="7A6C37CE" w14:textId="77777777" w:rsidR="00333FAA" w:rsidRDefault="00333FAA" w:rsidP="00825AC5">
            <w:pPr>
              <w:pStyle w:val="Infotext"/>
              <w:jc w:val="both"/>
            </w:pPr>
          </w:p>
        </w:tc>
        <w:tc>
          <w:tcPr>
            <w:tcW w:w="3882" w:type="dxa"/>
            <w:tcBorders>
              <w:top w:val="nil"/>
              <w:left w:val="nil"/>
              <w:bottom w:val="nil"/>
            </w:tcBorders>
          </w:tcPr>
          <w:p w14:paraId="24A5E521" w14:textId="77777777" w:rsidR="00333FAA" w:rsidRDefault="00333FAA" w:rsidP="00825AC5">
            <w:pPr>
              <w:pStyle w:val="Infotext"/>
              <w:jc w:val="both"/>
            </w:pPr>
            <w:r>
              <w:t>Monitoring Officer</w:t>
            </w:r>
          </w:p>
        </w:tc>
      </w:tr>
      <w:tr w:rsidR="00333FAA" w14:paraId="4E8FDBB7" w14:textId="77777777" w:rsidTr="003634DA">
        <w:tc>
          <w:tcPr>
            <w:tcW w:w="4730" w:type="dxa"/>
            <w:tcBorders>
              <w:top w:val="nil"/>
              <w:right w:val="nil"/>
            </w:tcBorders>
          </w:tcPr>
          <w:p w14:paraId="2E34386A" w14:textId="77777777" w:rsidR="00333FAA" w:rsidRDefault="00333FAA" w:rsidP="00825AC5">
            <w:pPr>
              <w:pStyle w:val="Infotext"/>
              <w:jc w:val="both"/>
            </w:pPr>
          </w:p>
          <w:p w14:paraId="246515B3" w14:textId="54598C13" w:rsidR="00333FAA" w:rsidRDefault="00333FAA" w:rsidP="00825AC5">
            <w:pPr>
              <w:pStyle w:val="Infotext"/>
              <w:jc w:val="both"/>
            </w:pPr>
            <w:r>
              <w:t xml:space="preserve">Date: </w:t>
            </w:r>
            <w:r w:rsidR="00A20D78">
              <w:t xml:space="preserve"> </w:t>
            </w:r>
            <w:r w:rsidR="00886690">
              <w:t>14/11/2019</w:t>
            </w:r>
          </w:p>
        </w:tc>
        <w:tc>
          <w:tcPr>
            <w:tcW w:w="850" w:type="dxa"/>
            <w:tcBorders>
              <w:left w:val="nil"/>
              <w:right w:val="nil"/>
            </w:tcBorders>
          </w:tcPr>
          <w:p w14:paraId="54FE29AD" w14:textId="77777777" w:rsidR="00333FAA" w:rsidRDefault="00333FAA" w:rsidP="00825AC5">
            <w:pPr>
              <w:pStyle w:val="Infotext"/>
              <w:jc w:val="both"/>
            </w:pPr>
          </w:p>
        </w:tc>
        <w:tc>
          <w:tcPr>
            <w:tcW w:w="368" w:type="dxa"/>
            <w:tcBorders>
              <w:top w:val="nil"/>
              <w:left w:val="nil"/>
              <w:right w:val="nil"/>
            </w:tcBorders>
          </w:tcPr>
          <w:p w14:paraId="3591ADC9" w14:textId="77777777" w:rsidR="00333FAA" w:rsidRDefault="00333FAA" w:rsidP="00825AC5">
            <w:pPr>
              <w:pStyle w:val="Infotext"/>
              <w:jc w:val="both"/>
            </w:pPr>
          </w:p>
        </w:tc>
        <w:tc>
          <w:tcPr>
            <w:tcW w:w="3882" w:type="dxa"/>
            <w:tcBorders>
              <w:top w:val="nil"/>
              <w:left w:val="nil"/>
            </w:tcBorders>
          </w:tcPr>
          <w:p w14:paraId="30C4CCFD" w14:textId="77777777" w:rsidR="00333FAA" w:rsidRDefault="00333FAA" w:rsidP="00825AC5">
            <w:pPr>
              <w:pStyle w:val="Infotext"/>
              <w:jc w:val="both"/>
            </w:pPr>
          </w:p>
          <w:p w14:paraId="08F8DF01" w14:textId="77777777" w:rsidR="00333FAA" w:rsidRDefault="00333FAA" w:rsidP="00825AC5">
            <w:pPr>
              <w:pStyle w:val="Infotext"/>
              <w:jc w:val="both"/>
            </w:pPr>
          </w:p>
        </w:tc>
      </w:tr>
      <w:tr w:rsidR="00496F06" w14:paraId="12DDC3F6" w14:textId="77777777" w:rsidTr="003634DA">
        <w:trPr>
          <w:trHeight w:val="1582"/>
        </w:trPr>
        <w:tc>
          <w:tcPr>
            <w:tcW w:w="4730" w:type="dxa"/>
            <w:tcBorders>
              <w:top w:val="nil"/>
              <w:right w:val="nil"/>
            </w:tcBorders>
          </w:tcPr>
          <w:p w14:paraId="49A4EF72" w14:textId="77777777" w:rsidR="007F4C91" w:rsidRDefault="007F4C91" w:rsidP="00825AC5">
            <w:pPr>
              <w:pStyle w:val="Infotext"/>
              <w:jc w:val="both"/>
            </w:pPr>
          </w:p>
          <w:p w14:paraId="17DD1F57" w14:textId="45AC21B9" w:rsidR="00496F06" w:rsidRDefault="00496F06" w:rsidP="00825AC5">
            <w:pPr>
              <w:pStyle w:val="Infotext"/>
              <w:jc w:val="both"/>
            </w:pPr>
            <w:r>
              <w:t xml:space="preserve">Name:  </w:t>
            </w:r>
            <w:proofErr w:type="spellStart"/>
            <w:r w:rsidR="001D7456">
              <w:t>Nimesh</w:t>
            </w:r>
            <w:proofErr w:type="spellEnd"/>
            <w:r w:rsidR="001D7456">
              <w:t xml:space="preserve"> Mehta</w:t>
            </w:r>
          </w:p>
          <w:p w14:paraId="19080F5F" w14:textId="77777777" w:rsidR="00496F06" w:rsidRDefault="00496F06" w:rsidP="00825AC5">
            <w:pPr>
              <w:pStyle w:val="Infotext"/>
              <w:jc w:val="both"/>
            </w:pPr>
            <w:r>
              <w:t xml:space="preserve"> </w:t>
            </w:r>
          </w:p>
          <w:p w14:paraId="0DA33CB0" w14:textId="77777777" w:rsidR="007F4C91" w:rsidRDefault="007F4C91" w:rsidP="00825AC5">
            <w:pPr>
              <w:pStyle w:val="Infotext"/>
              <w:jc w:val="both"/>
            </w:pPr>
          </w:p>
          <w:p w14:paraId="1ED873A1" w14:textId="77777777" w:rsidR="007F4C91" w:rsidRDefault="007F4C91" w:rsidP="00825AC5">
            <w:pPr>
              <w:pStyle w:val="Infotext"/>
              <w:jc w:val="both"/>
            </w:pPr>
          </w:p>
          <w:p w14:paraId="3BE2A78E" w14:textId="12077D43" w:rsidR="00496F06" w:rsidRDefault="00496F06" w:rsidP="00825AC5">
            <w:pPr>
              <w:pStyle w:val="Infotext"/>
              <w:jc w:val="both"/>
            </w:pPr>
            <w:r>
              <w:t xml:space="preserve">Date:  </w:t>
            </w:r>
            <w:r w:rsidR="00886690">
              <w:t>6/11/2019</w:t>
            </w:r>
          </w:p>
        </w:tc>
        <w:tc>
          <w:tcPr>
            <w:tcW w:w="850" w:type="dxa"/>
            <w:tcBorders>
              <w:left w:val="nil"/>
              <w:right w:val="nil"/>
            </w:tcBorders>
          </w:tcPr>
          <w:p w14:paraId="728EFCC8" w14:textId="77777777" w:rsidR="00496F06" w:rsidRDefault="00496F06" w:rsidP="00825AC5">
            <w:pPr>
              <w:pStyle w:val="Infotext"/>
              <w:jc w:val="both"/>
            </w:pPr>
          </w:p>
          <w:tbl>
            <w:tblPr>
              <w:tblStyle w:val="TableGrid"/>
              <w:tblpPr w:leftFromText="180" w:rightFromText="180" w:vertAnchor="page" w:horzAnchor="margin" w:tblpY="316"/>
              <w:tblOverlap w:val="never"/>
              <w:tblW w:w="846" w:type="dxa"/>
              <w:tblLayout w:type="fixed"/>
              <w:tblLook w:val="04A0" w:firstRow="1" w:lastRow="0" w:firstColumn="1" w:lastColumn="0" w:noHBand="0" w:noVBand="1"/>
            </w:tblPr>
            <w:tblGrid>
              <w:gridCol w:w="846"/>
            </w:tblGrid>
            <w:tr w:rsidR="00496F06" w14:paraId="5085DE22" w14:textId="77777777" w:rsidTr="003634DA">
              <w:trPr>
                <w:trHeight w:val="273"/>
              </w:trPr>
              <w:tc>
                <w:tcPr>
                  <w:tcW w:w="846" w:type="dxa"/>
                </w:tcPr>
                <w:p w14:paraId="120B248D" w14:textId="0A5FA346" w:rsidR="00496F06" w:rsidRDefault="00886690" w:rsidP="00825AC5">
                  <w:pPr>
                    <w:pStyle w:val="Infotext"/>
                    <w:ind w:right="-108"/>
                    <w:jc w:val="both"/>
                  </w:pPr>
                  <w:r>
                    <w:t>X</w:t>
                  </w:r>
                </w:p>
              </w:tc>
            </w:tr>
          </w:tbl>
          <w:p w14:paraId="0142CEE7" w14:textId="77777777" w:rsidR="00496F06" w:rsidRDefault="00496F06" w:rsidP="00825AC5">
            <w:pPr>
              <w:pStyle w:val="Infotext"/>
              <w:jc w:val="both"/>
            </w:pPr>
          </w:p>
        </w:tc>
        <w:tc>
          <w:tcPr>
            <w:tcW w:w="368" w:type="dxa"/>
            <w:tcBorders>
              <w:top w:val="nil"/>
              <w:left w:val="nil"/>
              <w:right w:val="nil"/>
            </w:tcBorders>
          </w:tcPr>
          <w:p w14:paraId="7B081F00" w14:textId="77777777" w:rsidR="00496F06" w:rsidRDefault="00496F06" w:rsidP="00825AC5">
            <w:pPr>
              <w:pStyle w:val="Infotext"/>
              <w:jc w:val="both"/>
            </w:pPr>
          </w:p>
        </w:tc>
        <w:tc>
          <w:tcPr>
            <w:tcW w:w="3882" w:type="dxa"/>
            <w:tcBorders>
              <w:top w:val="nil"/>
              <w:left w:val="nil"/>
            </w:tcBorders>
          </w:tcPr>
          <w:p w14:paraId="02036F96" w14:textId="77777777" w:rsidR="007F4C91" w:rsidRDefault="007F4C91" w:rsidP="00825AC5">
            <w:pPr>
              <w:pStyle w:val="Infotext"/>
              <w:jc w:val="both"/>
            </w:pPr>
          </w:p>
          <w:p w14:paraId="019A2DDA" w14:textId="3F1E2108" w:rsidR="00496F06" w:rsidRDefault="00496F06" w:rsidP="00825AC5">
            <w:pPr>
              <w:pStyle w:val="Infotext"/>
              <w:jc w:val="both"/>
            </w:pPr>
            <w:r w:rsidRPr="00496F06">
              <w:t>Head of Procurement</w:t>
            </w:r>
          </w:p>
        </w:tc>
      </w:tr>
      <w:tr w:rsidR="00496F06" w14:paraId="01B3C5A2" w14:textId="77777777" w:rsidTr="003634DA">
        <w:trPr>
          <w:trHeight w:val="1582"/>
        </w:trPr>
        <w:tc>
          <w:tcPr>
            <w:tcW w:w="4730" w:type="dxa"/>
            <w:tcBorders>
              <w:top w:val="nil"/>
              <w:right w:val="nil"/>
            </w:tcBorders>
          </w:tcPr>
          <w:p w14:paraId="3351C96E" w14:textId="77777777" w:rsidR="007F4C91" w:rsidRDefault="007F4C91" w:rsidP="00825AC5">
            <w:pPr>
              <w:pStyle w:val="Infotext"/>
              <w:jc w:val="both"/>
            </w:pPr>
          </w:p>
          <w:p w14:paraId="021CE567" w14:textId="77777777" w:rsidR="007F4C91" w:rsidRDefault="007F4C91" w:rsidP="00825AC5">
            <w:pPr>
              <w:pStyle w:val="Infotext"/>
              <w:jc w:val="both"/>
            </w:pPr>
          </w:p>
          <w:p w14:paraId="0E00D31B" w14:textId="55469048" w:rsidR="00496F06" w:rsidRDefault="00496F06" w:rsidP="00825AC5">
            <w:pPr>
              <w:pStyle w:val="Infotext"/>
              <w:jc w:val="both"/>
            </w:pPr>
            <w:r>
              <w:t xml:space="preserve">Name:  </w:t>
            </w:r>
            <w:r w:rsidRPr="00CA2FF3">
              <w:t>Charlie Stewart</w:t>
            </w:r>
            <w:r w:rsidR="007F4C91">
              <w:t xml:space="preserve">                              </w:t>
            </w:r>
          </w:p>
          <w:p w14:paraId="14434973" w14:textId="77777777" w:rsidR="007F4C91" w:rsidRDefault="007F4C91" w:rsidP="00825AC5">
            <w:pPr>
              <w:pStyle w:val="Infotext"/>
              <w:jc w:val="both"/>
            </w:pPr>
          </w:p>
          <w:p w14:paraId="1E51AE87" w14:textId="77777777" w:rsidR="007F4C91" w:rsidRDefault="007F4C91" w:rsidP="00825AC5">
            <w:pPr>
              <w:pStyle w:val="Infotext"/>
              <w:jc w:val="both"/>
            </w:pPr>
          </w:p>
          <w:p w14:paraId="7126FEE9" w14:textId="77777777" w:rsidR="007F4C91" w:rsidRDefault="007F4C91" w:rsidP="00825AC5">
            <w:pPr>
              <w:pStyle w:val="Infotext"/>
              <w:jc w:val="both"/>
            </w:pPr>
          </w:p>
          <w:p w14:paraId="358095F4" w14:textId="65088908" w:rsidR="007F4C91" w:rsidRDefault="007F4C91" w:rsidP="00825AC5">
            <w:pPr>
              <w:pStyle w:val="Infotext"/>
              <w:jc w:val="both"/>
            </w:pPr>
            <w:r>
              <w:t>Date:</w:t>
            </w:r>
            <w:r w:rsidR="00CF3F95">
              <w:t>19/12/2019</w:t>
            </w:r>
            <w:r w:rsidR="00F548CD">
              <w:t xml:space="preserve"> </w:t>
            </w:r>
          </w:p>
        </w:tc>
        <w:tc>
          <w:tcPr>
            <w:tcW w:w="850" w:type="dxa"/>
            <w:tcBorders>
              <w:left w:val="nil"/>
              <w:right w:val="nil"/>
            </w:tcBorders>
          </w:tcPr>
          <w:p w14:paraId="7BD04743" w14:textId="77777777" w:rsidR="00496F06" w:rsidRDefault="00496F06" w:rsidP="00825AC5">
            <w:pPr>
              <w:pStyle w:val="Infotext"/>
              <w:jc w:val="both"/>
            </w:pPr>
          </w:p>
          <w:p w14:paraId="56DB549F" w14:textId="77777777" w:rsidR="007F4C91" w:rsidRDefault="007F4C91" w:rsidP="00825AC5">
            <w:pPr>
              <w:pStyle w:val="Infotext"/>
              <w:jc w:val="both"/>
            </w:pPr>
          </w:p>
          <w:tbl>
            <w:tblPr>
              <w:tblStyle w:val="TableGrid"/>
              <w:tblW w:w="744" w:type="dxa"/>
              <w:tblBorders>
                <w:left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744"/>
            </w:tblGrid>
            <w:tr w:rsidR="007F4C91" w14:paraId="184E92A0" w14:textId="77777777" w:rsidTr="00825AC5">
              <w:tc>
                <w:tcPr>
                  <w:tcW w:w="744" w:type="dxa"/>
                </w:tcPr>
                <w:p w14:paraId="50CE603B" w14:textId="07806DFF" w:rsidR="007F4C91" w:rsidRDefault="00CF3F95" w:rsidP="00825AC5">
                  <w:pPr>
                    <w:pStyle w:val="Infotext"/>
                    <w:jc w:val="both"/>
                  </w:pPr>
                  <w:r>
                    <w:t>x</w:t>
                  </w:r>
                </w:p>
              </w:tc>
            </w:tr>
          </w:tbl>
          <w:p w14:paraId="2105711B" w14:textId="77777777" w:rsidR="007F4C91" w:rsidRDefault="007F4C91" w:rsidP="00825AC5">
            <w:pPr>
              <w:pStyle w:val="Infotext"/>
              <w:jc w:val="both"/>
            </w:pPr>
          </w:p>
        </w:tc>
        <w:tc>
          <w:tcPr>
            <w:tcW w:w="368" w:type="dxa"/>
            <w:tcBorders>
              <w:top w:val="nil"/>
              <w:left w:val="nil"/>
              <w:right w:val="nil"/>
            </w:tcBorders>
          </w:tcPr>
          <w:p w14:paraId="68D0ECE0" w14:textId="77777777" w:rsidR="00496F06" w:rsidRDefault="00496F06" w:rsidP="00825AC5">
            <w:pPr>
              <w:pStyle w:val="Infotext"/>
              <w:jc w:val="both"/>
            </w:pPr>
          </w:p>
        </w:tc>
        <w:tc>
          <w:tcPr>
            <w:tcW w:w="3882" w:type="dxa"/>
            <w:tcBorders>
              <w:top w:val="nil"/>
              <w:left w:val="nil"/>
            </w:tcBorders>
          </w:tcPr>
          <w:p w14:paraId="36FC7BC5" w14:textId="77777777" w:rsidR="007F4C91" w:rsidRDefault="007F4C91" w:rsidP="00825AC5">
            <w:pPr>
              <w:pStyle w:val="Infotext"/>
              <w:jc w:val="both"/>
            </w:pPr>
          </w:p>
          <w:p w14:paraId="57FF13FF" w14:textId="77777777" w:rsidR="007F4C91" w:rsidRDefault="007F4C91" w:rsidP="00825AC5">
            <w:pPr>
              <w:pStyle w:val="Infotext"/>
              <w:jc w:val="both"/>
            </w:pPr>
          </w:p>
          <w:p w14:paraId="1063EA81" w14:textId="4BC08B74" w:rsidR="00496F06" w:rsidRDefault="00496F06" w:rsidP="00825AC5">
            <w:pPr>
              <w:pStyle w:val="Infotext"/>
              <w:jc w:val="both"/>
            </w:pPr>
            <w:r>
              <w:t>Corporate Directo</w:t>
            </w:r>
            <w:r w:rsidR="007F4C91">
              <w:t>r</w:t>
            </w:r>
          </w:p>
          <w:p w14:paraId="17BAAC5E" w14:textId="328CB435" w:rsidR="00496F06" w:rsidRDefault="00496F06" w:rsidP="00825AC5">
            <w:pPr>
              <w:pStyle w:val="Infotext"/>
              <w:ind w:left="-5909" w:firstLine="5909"/>
              <w:jc w:val="both"/>
            </w:pPr>
            <w:r w:rsidRPr="00496F06">
              <w:t xml:space="preserve">  </w:t>
            </w:r>
          </w:p>
          <w:p w14:paraId="26487654" w14:textId="77777777" w:rsidR="00496F06" w:rsidRDefault="00496F06" w:rsidP="00825AC5">
            <w:pPr>
              <w:pStyle w:val="Infotext"/>
              <w:jc w:val="both"/>
            </w:pPr>
          </w:p>
          <w:p w14:paraId="321C45F0" w14:textId="37616492" w:rsidR="00496F06" w:rsidRDefault="00496F06" w:rsidP="00825AC5">
            <w:pPr>
              <w:pStyle w:val="Infotext"/>
              <w:jc w:val="both"/>
            </w:pPr>
          </w:p>
        </w:tc>
      </w:tr>
    </w:tbl>
    <w:p w14:paraId="23E689A2" w14:textId="77777777" w:rsidR="00435B5D" w:rsidRDefault="00435B5D" w:rsidP="00825AC5">
      <w:pPr>
        <w:jc w:val="both"/>
      </w:pPr>
    </w:p>
    <w:tbl>
      <w:tblPr>
        <w:tblW w:w="51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0"/>
        <w:gridCol w:w="3598"/>
      </w:tblGrid>
      <w:tr w:rsidR="00333FAA" w14:paraId="6F6314BD" w14:textId="77777777" w:rsidTr="003634DA">
        <w:trPr>
          <w:trHeight w:val="965"/>
        </w:trPr>
        <w:tc>
          <w:tcPr>
            <w:tcW w:w="3104" w:type="pct"/>
            <w:tcBorders>
              <w:right w:val="nil"/>
            </w:tcBorders>
          </w:tcPr>
          <w:p w14:paraId="7C7A9EAB" w14:textId="77777777" w:rsidR="00333FAA" w:rsidRDefault="00333FAA" w:rsidP="00825AC5">
            <w:pPr>
              <w:pStyle w:val="Infotext"/>
              <w:jc w:val="both"/>
              <w:rPr>
                <w:rFonts w:ascii="Arial Black" w:hAnsi="Arial Black"/>
              </w:rPr>
            </w:pPr>
            <w:r>
              <w:rPr>
                <w:rFonts w:ascii="Arial Black" w:hAnsi="Arial Black"/>
              </w:rPr>
              <w:lastRenderedPageBreak/>
              <w:t>Ward Councillors notified:</w:t>
            </w:r>
          </w:p>
          <w:p w14:paraId="0725FBFD" w14:textId="77777777" w:rsidR="00333FAA" w:rsidRPr="00BD2E91" w:rsidRDefault="00333FAA" w:rsidP="00825AC5">
            <w:pPr>
              <w:pStyle w:val="Infotext"/>
              <w:jc w:val="both"/>
              <w:rPr>
                <w:color w:val="FF0000"/>
              </w:rPr>
            </w:pPr>
          </w:p>
        </w:tc>
        <w:tc>
          <w:tcPr>
            <w:tcW w:w="1896" w:type="pct"/>
            <w:tcBorders>
              <w:left w:val="nil"/>
            </w:tcBorders>
          </w:tcPr>
          <w:p w14:paraId="5740C1BF" w14:textId="77777777" w:rsidR="00333FAA" w:rsidRDefault="00333FAA" w:rsidP="00825AC5">
            <w:pPr>
              <w:pStyle w:val="Infotext"/>
              <w:jc w:val="both"/>
            </w:pPr>
          </w:p>
          <w:p w14:paraId="6A559600" w14:textId="77777777" w:rsidR="00333FAA" w:rsidRDefault="00333FAA" w:rsidP="00825AC5">
            <w:pPr>
              <w:pStyle w:val="Infotext"/>
              <w:spacing w:before="120"/>
              <w:jc w:val="both"/>
              <w:rPr>
                <w:i/>
                <w:sz w:val="24"/>
                <w:szCs w:val="24"/>
              </w:rPr>
            </w:pPr>
            <w:r w:rsidRPr="00A406F3">
              <w:rPr>
                <w:b/>
              </w:rPr>
              <w:t>NO</w:t>
            </w:r>
            <w:r>
              <w:rPr>
                <w:i/>
                <w:sz w:val="24"/>
                <w:szCs w:val="24"/>
              </w:rPr>
              <w:t xml:space="preserve"> </w:t>
            </w:r>
          </w:p>
          <w:p w14:paraId="70686121" w14:textId="77777777" w:rsidR="00333FAA" w:rsidRPr="003D78F6" w:rsidRDefault="00333FAA" w:rsidP="00825AC5">
            <w:pPr>
              <w:pStyle w:val="Infotext"/>
              <w:ind w:left="173"/>
              <w:jc w:val="both"/>
              <w:rPr>
                <w:i/>
                <w:sz w:val="24"/>
                <w:szCs w:val="24"/>
              </w:rPr>
            </w:pPr>
          </w:p>
        </w:tc>
      </w:tr>
      <w:tr w:rsidR="00333FAA" w:rsidRPr="00303FD6" w14:paraId="4C36CBDC" w14:textId="77777777" w:rsidTr="003634DA">
        <w:trPr>
          <w:trHeight w:val="965"/>
        </w:trPr>
        <w:tc>
          <w:tcPr>
            <w:tcW w:w="3104" w:type="pct"/>
            <w:tcBorders>
              <w:right w:val="nil"/>
            </w:tcBorders>
          </w:tcPr>
          <w:p w14:paraId="471F8A20" w14:textId="77777777" w:rsidR="00333FAA" w:rsidRDefault="00333FAA" w:rsidP="00825AC5">
            <w:pPr>
              <w:pStyle w:val="Infotext"/>
              <w:jc w:val="both"/>
              <w:rPr>
                <w:rFonts w:ascii="Arial Black" w:hAnsi="Arial Black"/>
                <w:color w:val="FF0000"/>
              </w:rPr>
            </w:pPr>
          </w:p>
          <w:p w14:paraId="2002C405" w14:textId="77777777" w:rsidR="00333FAA" w:rsidRPr="00202D79" w:rsidRDefault="00333FAA" w:rsidP="00825AC5">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2526B7DA" w14:textId="77777777" w:rsidR="00333FAA" w:rsidRPr="00202D79" w:rsidRDefault="00333FAA" w:rsidP="00825AC5">
            <w:pPr>
              <w:pStyle w:val="Infotext"/>
              <w:jc w:val="both"/>
              <w:rPr>
                <w:rFonts w:ascii="Arial Black" w:hAnsi="Arial Black"/>
              </w:rPr>
            </w:pPr>
          </w:p>
          <w:p w14:paraId="5967FD56" w14:textId="77777777" w:rsidR="00333FAA" w:rsidRPr="00303FD6" w:rsidRDefault="00333FAA" w:rsidP="00825AC5">
            <w:pPr>
              <w:pStyle w:val="Infotext"/>
              <w:jc w:val="both"/>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896" w:type="pct"/>
            <w:tcBorders>
              <w:left w:val="nil"/>
            </w:tcBorders>
          </w:tcPr>
          <w:p w14:paraId="056EAF9A" w14:textId="77777777" w:rsidR="00333FAA" w:rsidRDefault="00333FAA" w:rsidP="00825AC5">
            <w:pPr>
              <w:pStyle w:val="Infotext"/>
              <w:jc w:val="both"/>
              <w:rPr>
                <w:b/>
                <w:color w:val="FF0000"/>
              </w:rPr>
            </w:pPr>
          </w:p>
          <w:p w14:paraId="025354E1" w14:textId="77777777" w:rsidR="00333FAA" w:rsidRPr="00202D79" w:rsidRDefault="00CA2FF3" w:rsidP="00825AC5">
            <w:pPr>
              <w:pStyle w:val="Infotext"/>
              <w:jc w:val="both"/>
              <w:rPr>
                <w:b/>
              </w:rPr>
            </w:pPr>
            <w:r>
              <w:rPr>
                <w:b/>
              </w:rPr>
              <w:t>NO</w:t>
            </w:r>
          </w:p>
          <w:p w14:paraId="51EBFC7A" w14:textId="77777777" w:rsidR="00333FAA" w:rsidRDefault="00333FAA" w:rsidP="00825AC5">
            <w:pPr>
              <w:pStyle w:val="Infotext"/>
              <w:jc w:val="both"/>
              <w:rPr>
                <w:i/>
                <w:sz w:val="24"/>
                <w:szCs w:val="24"/>
              </w:rPr>
            </w:pPr>
            <w:r>
              <w:rPr>
                <w:i/>
                <w:sz w:val="24"/>
                <w:szCs w:val="24"/>
              </w:rPr>
              <w:t xml:space="preserve">. </w:t>
            </w:r>
          </w:p>
          <w:p w14:paraId="6541ABC3" w14:textId="77777777" w:rsidR="00333FAA" w:rsidRPr="00303FD6" w:rsidRDefault="00333FAA" w:rsidP="00825AC5">
            <w:pPr>
              <w:pStyle w:val="Infotext"/>
              <w:jc w:val="both"/>
              <w:rPr>
                <w:b/>
                <w:color w:val="FF0000"/>
              </w:rPr>
            </w:pPr>
          </w:p>
          <w:p w14:paraId="236747B6" w14:textId="77777777" w:rsidR="00333FAA" w:rsidRPr="00303FD6" w:rsidRDefault="00333FAA" w:rsidP="00825AC5">
            <w:pPr>
              <w:pStyle w:val="Infotext"/>
              <w:jc w:val="both"/>
              <w:rPr>
                <w:color w:val="FF0000"/>
              </w:rPr>
            </w:pPr>
          </w:p>
        </w:tc>
      </w:tr>
    </w:tbl>
    <w:p w14:paraId="6D37A058" w14:textId="77777777" w:rsidR="00333FAA" w:rsidRDefault="00333FAA" w:rsidP="00825AC5">
      <w:pPr>
        <w:jc w:val="both"/>
      </w:pPr>
    </w:p>
    <w:p w14:paraId="0A0F3F9E" w14:textId="77777777" w:rsidR="002548D1" w:rsidRDefault="002548D1" w:rsidP="00825AC5">
      <w:pPr>
        <w:jc w:val="both"/>
      </w:pPr>
    </w:p>
    <w:p w14:paraId="0608363E" w14:textId="77777777" w:rsidR="00333FAA" w:rsidRDefault="00333FAA" w:rsidP="00825AC5">
      <w:pPr>
        <w:pStyle w:val="Heading1"/>
        <w:keepNext/>
        <w:jc w:val="both"/>
      </w:pPr>
      <w:r>
        <w:t xml:space="preserve">Section </w:t>
      </w:r>
      <w:r w:rsidR="00A20113">
        <w:t>4</w:t>
      </w:r>
      <w:r>
        <w:t xml:space="preserve"> - Contact Details and Background Papers</w:t>
      </w:r>
    </w:p>
    <w:p w14:paraId="04159197" w14:textId="77777777" w:rsidR="00333FAA" w:rsidRDefault="00333FAA" w:rsidP="00825AC5">
      <w:pPr>
        <w:keepNext/>
        <w:jc w:val="both"/>
        <w:rPr>
          <w:rFonts w:cs="Arial"/>
        </w:rPr>
      </w:pPr>
    </w:p>
    <w:p w14:paraId="4A7EEFA6" w14:textId="77777777" w:rsidR="00333FAA" w:rsidRDefault="00333FAA" w:rsidP="00825AC5">
      <w:pPr>
        <w:keepNext/>
        <w:jc w:val="both"/>
        <w:rPr>
          <w:rFonts w:cs="Arial"/>
        </w:rPr>
      </w:pPr>
    </w:p>
    <w:p w14:paraId="02BC8A13" w14:textId="7F6A08A0" w:rsidR="00CA2FF3" w:rsidRPr="00CA2FF3" w:rsidRDefault="00333FAA" w:rsidP="00825AC5">
      <w:pPr>
        <w:pStyle w:val="Infotext"/>
        <w:ind w:right="283"/>
        <w:jc w:val="both"/>
        <w:rPr>
          <w:b/>
        </w:rPr>
      </w:pPr>
      <w:r w:rsidRPr="004E47FC">
        <w:rPr>
          <w:b/>
        </w:rPr>
        <w:t xml:space="preserve">Contact:  </w:t>
      </w:r>
      <w:r w:rsidR="00CA2FF3" w:rsidRPr="00CA2FF3">
        <w:rPr>
          <w:b/>
        </w:rPr>
        <w:t xml:space="preserve">Sharon </w:t>
      </w:r>
      <w:proofErr w:type="spellStart"/>
      <w:r w:rsidR="00CA2FF3" w:rsidRPr="00CA2FF3">
        <w:rPr>
          <w:b/>
        </w:rPr>
        <w:t>Daniels,Head</w:t>
      </w:r>
      <w:proofErr w:type="spellEnd"/>
      <w:r w:rsidR="00CA2FF3" w:rsidRPr="00CA2FF3">
        <w:rPr>
          <w:b/>
        </w:rPr>
        <w:t xml:space="preserve"> of Strategic and Technical Finance (Deputy S151), Telephone 020 8424 1332, Sharon</w:t>
      </w:r>
      <w:r w:rsidR="00740E30">
        <w:rPr>
          <w:b/>
        </w:rPr>
        <w:t>.</w:t>
      </w:r>
      <w:r w:rsidR="00CA2FF3" w:rsidRPr="00CA2FF3">
        <w:rPr>
          <w:b/>
        </w:rPr>
        <w:t xml:space="preserve"> Daniels@harrow.gov.uk</w:t>
      </w:r>
    </w:p>
    <w:p w14:paraId="1609BB6B" w14:textId="77777777" w:rsidR="00333FAA" w:rsidRDefault="00333FAA" w:rsidP="00825AC5">
      <w:pPr>
        <w:jc w:val="both"/>
      </w:pPr>
    </w:p>
    <w:p w14:paraId="0E67BA6A" w14:textId="77777777" w:rsidR="00333FAA" w:rsidRDefault="00333FAA" w:rsidP="00825AC5">
      <w:pPr>
        <w:pStyle w:val="Infotext"/>
        <w:jc w:val="both"/>
        <w:rPr>
          <w:b/>
        </w:rPr>
      </w:pPr>
      <w:r w:rsidRPr="004E47FC">
        <w:rPr>
          <w:b/>
        </w:rPr>
        <w:t xml:space="preserve">Background Papers: </w:t>
      </w:r>
      <w:r w:rsidR="005808FB">
        <w:rPr>
          <w:b/>
        </w:rPr>
        <w:t xml:space="preserve"> </w:t>
      </w:r>
    </w:p>
    <w:p w14:paraId="3C672403" w14:textId="77777777" w:rsidR="00CA2FF3" w:rsidRDefault="00CA2FF3" w:rsidP="00825AC5">
      <w:pPr>
        <w:pStyle w:val="Infotext"/>
        <w:numPr>
          <w:ilvl w:val="0"/>
          <w:numId w:val="12"/>
        </w:numPr>
        <w:jc w:val="both"/>
        <w:rPr>
          <w:b/>
        </w:rPr>
      </w:pPr>
      <w:r>
        <w:rPr>
          <w:b/>
        </w:rPr>
        <w:t>MTFS 2019/20 to 2021/22</w:t>
      </w:r>
    </w:p>
    <w:p w14:paraId="5BDD6712" w14:textId="77777777" w:rsidR="00CA2FF3" w:rsidRDefault="00CA2FF3" w:rsidP="00825AC5">
      <w:pPr>
        <w:pStyle w:val="Infotext"/>
        <w:numPr>
          <w:ilvl w:val="0"/>
          <w:numId w:val="12"/>
        </w:numPr>
        <w:jc w:val="both"/>
        <w:rPr>
          <w:b/>
        </w:rPr>
      </w:pPr>
      <w:r>
        <w:rPr>
          <w:b/>
        </w:rPr>
        <w:t>2019/20 Budget Report</w:t>
      </w:r>
    </w:p>
    <w:p w14:paraId="57C81187" w14:textId="77777777" w:rsidR="00333FAA" w:rsidRDefault="00333FAA" w:rsidP="00825AC5">
      <w:pPr>
        <w:pStyle w:val="Infotext"/>
        <w:jc w:val="both"/>
        <w:rPr>
          <w:b/>
        </w:rPr>
      </w:pPr>
    </w:p>
    <w:p w14:paraId="315548C7" w14:textId="77777777" w:rsidR="00333FAA" w:rsidRDefault="00333FAA" w:rsidP="00825AC5">
      <w:pPr>
        <w:pStyle w:val="Infotext"/>
        <w:jc w:val="both"/>
        <w:rPr>
          <w:b/>
        </w:rPr>
      </w:pP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3"/>
        <w:gridCol w:w="588"/>
        <w:gridCol w:w="5099"/>
      </w:tblGrid>
      <w:tr w:rsidR="00333FAA" w14:paraId="02386CCF" w14:textId="77777777" w:rsidTr="003634DA">
        <w:trPr>
          <w:trHeight w:val="965"/>
        </w:trPr>
        <w:tc>
          <w:tcPr>
            <w:tcW w:w="2078" w:type="pct"/>
            <w:tcBorders>
              <w:right w:val="nil"/>
            </w:tcBorders>
          </w:tcPr>
          <w:p w14:paraId="2FD5C0E0" w14:textId="77777777" w:rsidR="00333FAA" w:rsidRDefault="00333FAA" w:rsidP="00825AC5">
            <w:pPr>
              <w:pStyle w:val="Infotext"/>
              <w:jc w:val="both"/>
            </w:pPr>
          </w:p>
          <w:p w14:paraId="36552F43" w14:textId="77777777" w:rsidR="00333FAA" w:rsidRPr="007C0DC3" w:rsidRDefault="00333FAA" w:rsidP="00825AC5">
            <w:pPr>
              <w:pStyle w:val="Infotext"/>
              <w:jc w:val="both"/>
              <w:rPr>
                <w:rFonts w:ascii="Arial Black" w:hAnsi="Arial Black"/>
              </w:rPr>
            </w:pPr>
            <w:r w:rsidRPr="007C0DC3">
              <w:rPr>
                <w:rFonts w:ascii="Arial Black" w:hAnsi="Arial Black"/>
              </w:rPr>
              <w:t>Call-In Waived by the Chair of Overview and Scrutiny Committee</w:t>
            </w:r>
          </w:p>
          <w:p w14:paraId="7D02E7AA" w14:textId="77777777" w:rsidR="00333FAA" w:rsidRDefault="00333FAA" w:rsidP="00825AC5">
            <w:pPr>
              <w:pStyle w:val="Infotext"/>
              <w:jc w:val="both"/>
            </w:pPr>
          </w:p>
          <w:p w14:paraId="737E6C27" w14:textId="77777777" w:rsidR="00333FAA" w:rsidRDefault="00333FAA" w:rsidP="00825AC5">
            <w:pPr>
              <w:pStyle w:val="Infotext"/>
              <w:jc w:val="both"/>
            </w:pPr>
          </w:p>
        </w:tc>
        <w:tc>
          <w:tcPr>
            <w:tcW w:w="302" w:type="pct"/>
            <w:tcBorders>
              <w:left w:val="nil"/>
              <w:right w:val="nil"/>
            </w:tcBorders>
          </w:tcPr>
          <w:p w14:paraId="5407F6B3" w14:textId="77777777" w:rsidR="00333FAA" w:rsidRDefault="00333FAA" w:rsidP="00825AC5">
            <w:pPr>
              <w:pStyle w:val="Infotext"/>
              <w:jc w:val="both"/>
            </w:pPr>
          </w:p>
        </w:tc>
        <w:tc>
          <w:tcPr>
            <w:tcW w:w="2620" w:type="pct"/>
            <w:tcBorders>
              <w:left w:val="nil"/>
            </w:tcBorders>
          </w:tcPr>
          <w:p w14:paraId="50900579" w14:textId="77777777" w:rsidR="00604F47" w:rsidRDefault="00604F47" w:rsidP="00825AC5">
            <w:pPr>
              <w:pStyle w:val="Infotext"/>
              <w:jc w:val="both"/>
              <w:rPr>
                <w:b/>
              </w:rPr>
            </w:pPr>
          </w:p>
          <w:p w14:paraId="402EC1A2" w14:textId="0BA033E8" w:rsidR="00333FAA" w:rsidRDefault="00BD6DD8" w:rsidP="00825AC5">
            <w:pPr>
              <w:pStyle w:val="Infotext"/>
              <w:jc w:val="both"/>
            </w:pPr>
            <w:r>
              <w:rPr>
                <w:b/>
              </w:rPr>
              <w:t xml:space="preserve">No </w:t>
            </w:r>
          </w:p>
          <w:p w14:paraId="5CC7330D" w14:textId="77777777" w:rsidR="00333FAA" w:rsidRDefault="00333FAA" w:rsidP="00825AC5">
            <w:pPr>
              <w:pStyle w:val="Infotext"/>
              <w:jc w:val="both"/>
            </w:pPr>
          </w:p>
          <w:p w14:paraId="60FE5356" w14:textId="77777777" w:rsidR="00333FAA" w:rsidRDefault="00333FAA" w:rsidP="00825AC5">
            <w:pPr>
              <w:pStyle w:val="Infotext"/>
              <w:jc w:val="both"/>
            </w:pPr>
          </w:p>
          <w:p w14:paraId="17CFED60" w14:textId="77777777" w:rsidR="00333FAA" w:rsidRDefault="00333FAA" w:rsidP="00825AC5">
            <w:pPr>
              <w:pStyle w:val="Infotext"/>
              <w:jc w:val="both"/>
            </w:pPr>
          </w:p>
          <w:p w14:paraId="1ED23B44" w14:textId="77777777" w:rsidR="0017653E" w:rsidRPr="0017653E" w:rsidRDefault="0017653E" w:rsidP="00825AC5">
            <w:pPr>
              <w:pStyle w:val="Infotext"/>
              <w:ind w:left="173"/>
              <w:jc w:val="both"/>
              <w:rPr>
                <w:rFonts w:cs="Arial"/>
                <w:i/>
                <w:sz w:val="24"/>
                <w:szCs w:val="24"/>
                <w:lang w:eastAsia="en-GB"/>
              </w:rPr>
            </w:pPr>
          </w:p>
        </w:tc>
      </w:tr>
    </w:tbl>
    <w:p w14:paraId="095648BD" w14:textId="77777777" w:rsidR="000176F7" w:rsidRDefault="000176F7">
      <w:pPr>
        <w:jc w:val="both"/>
      </w:pPr>
    </w:p>
    <w:p w14:paraId="49B2F127" w14:textId="19C9BF1E" w:rsidR="000D4E36" w:rsidRPr="00DE71D3" w:rsidRDefault="000176F7" w:rsidP="00AF32BF">
      <w:pPr>
        <w:ind w:right="283"/>
        <w:jc w:val="both"/>
      </w:pPr>
      <w:r w:rsidRPr="00006B72">
        <w:rPr>
          <w:b/>
          <w:u w:val="single"/>
        </w:rPr>
        <w:lastRenderedPageBreak/>
        <w:t xml:space="preserve">Summary of 2019/20 Revenue Budget Forecast as at Quarter </w:t>
      </w:r>
      <w:r w:rsidR="00006B72" w:rsidRPr="00825AC5">
        <w:rPr>
          <w:b/>
          <w:u w:val="single"/>
        </w:rPr>
        <w:t>2</w:t>
      </w:r>
      <w:r w:rsidR="00006B72">
        <w:rPr>
          <w:b/>
        </w:rPr>
        <w:t xml:space="preserve"> </w:t>
      </w:r>
      <w:r w:rsidR="00F32168">
        <w:rPr>
          <w:b/>
        </w:rPr>
        <w:t xml:space="preserve"> </w:t>
      </w:r>
      <w:r w:rsidRPr="00825AC5">
        <w:rPr>
          <w:b/>
        </w:rPr>
        <w:t xml:space="preserve"> </w:t>
      </w:r>
      <w:r w:rsidRPr="00006B72">
        <w:rPr>
          <w:b/>
          <w:u w:val="single"/>
        </w:rPr>
        <w:t>Appendix1</w:t>
      </w:r>
      <w:r w:rsidR="00F32168" w:rsidRPr="00F32168">
        <w:rPr>
          <w:b/>
          <w:u w:val="single"/>
        </w:rPr>
        <w:t xml:space="preserve"> </w:t>
      </w:r>
      <w:r w:rsidR="00F32168">
        <w:rPr>
          <w:b/>
          <w:u w:val="single"/>
        </w:rPr>
        <w:t xml:space="preserve">  </w:t>
      </w:r>
      <w:r w:rsidR="002373CE" w:rsidRPr="002373CE">
        <w:rPr>
          <w:noProof/>
          <w:lang w:eastAsia="en-GB"/>
        </w:rPr>
        <w:drawing>
          <wp:inline distT="0" distB="0" distL="0" distR="0" wp14:anchorId="5910A3F9" wp14:editId="36C266EB">
            <wp:extent cx="5671702" cy="913227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1702" cy="9132277"/>
                    </a:xfrm>
                    <a:prstGeom prst="rect">
                      <a:avLst/>
                    </a:prstGeom>
                    <a:noFill/>
                    <a:ln>
                      <a:noFill/>
                    </a:ln>
                  </pic:spPr>
                </pic:pic>
              </a:graphicData>
            </a:graphic>
          </wp:inline>
        </w:drawing>
      </w:r>
      <w:bookmarkStart w:id="2" w:name="_GoBack"/>
      <w:bookmarkEnd w:id="2"/>
    </w:p>
    <w:sectPr w:rsidR="000D4E36" w:rsidRPr="00DE71D3" w:rsidSect="0016099B">
      <w:footerReference w:type="default" r:id="rId24"/>
      <w:headerReference w:type="first" r:id="rId25"/>
      <w:pgSz w:w="11909" w:h="16834" w:code="9"/>
      <w:pgMar w:top="720" w:right="2128" w:bottom="1440" w:left="85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519E7" w14:textId="77777777" w:rsidR="00DB4768" w:rsidRDefault="00DB4768">
      <w:r>
        <w:separator/>
      </w:r>
    </w:p>
  </w:endnote>
  <w:endnote w:type="continuationSeparator" w:id="0">
    <w:p w14:paraId="1C9BC00A" w14:textId="77777777" w:rsidR="00DB4768" w:rsidRDefault="00D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21250"/>
      <w:docPartObj>
        <w:docPartGallery w:val="Page Numbers (Bottom of Page)"/>
        <w:docPartUnique/>
      </w:docPartObj>
    </w:sdtPr>
    <w:sdtEndPr>
      <w:rPr>
        <w:noProof/>
      </w:rPr>
    </w:sdtEndPr>
    <w:sdtContent>
      <w:p w14:paraId="53B4B401" w14:textId="4C227E96" w:rsidR="00DB4768" w:rsidRDefault="00DB4768">
        <w:pPr>
          <w:pStyle w:val="Footer"/>
          <w:jc w:val="center"/>
        </w:pPr>
        <w:r>
          <w:fldChar w:fldCharType="begin"/>
        </w:r>
        <w:r>
          <w:instrText xml:space="preserve"> PAGE   \* MERGEFORMAT </w:instrText>
        </w:r>
        <w:r>
          <w:fldChar w:fldCharType="separate"/>
        </w:r>
        <w:r w:rsidR="00AF32BF">
          <w:rPr>
            <w:noProof/>
          </w:rPr>
          <w:t>26</w:t>
        </w:r>
        <w:r>
          <w:rPr>
            <w:noProof/>
          </w:rPr>
          <w:fldChar w:fldCharType="end"/>
        </w:r>
      </w:p>
    </w:sdtContent>
  </w:sdt>
  <w:p w14:paraId="5663C440" w14:textId="77777777" w:rsidR="00DB4768" w:rsidRDefault="00DB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D875" w14:textId="77777777" w:rsidR="00DB4768" w:rsidRDefault="00DB4768">
      <w:r>
        <w:separator/>
      </w:r>
    </w:p>
  </w:footnote>
  <w:footnote w:type="continuationSeparator" w:id="0">
    <w:p w14:paraId="5576C8BC" w14:textId="77777777" w:rsidR="00DB4768" w:rsidRDefault="00DB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72FF" w14:textId="2B89D85C" w:rsidR="00DB4768" w:rsidRDefault="00DB4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AC"/>
    <w:multiLevelType w:val="hybridMultilevel"/>
    <w:tmpl w:val="91889280"/>
    <w:lvl w:ilvl="0" w:tplc="08090013">
      <w:start w:val="1"/>
      <w:numFmt w:val="upp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2163768"/>
    <w:multiLevelType w:val="multilevel"/>
    <w:tmpl w:val="9BA8EBC0"/>
    <w:lvl w:ilvl="0">
      <w:start w:val="3"/>
      <w:numFmt w:val="decimal"/>
      <w:lvlText w:val="%1.1"/>
      <w:lvlJc w:val="left"/>
      <w:pPr>
        <w:ind w:left="689"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21642D0"/>
    <w:multiLevelType w:val="hybridMultilevel"/>
    <w:tmpl w:val="A9A2364A"/>
    <w:lvl w:ilvl="0" w:tplc="BCBE6C6C">
      <w:start w:val="4"/>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3C6484"/>
    <w:multiLevelType w:val="hybridMultilevel"/>
    <w:tmpl w:val="C244270C"/>
    <w:lvl w:ilvl="0" w:tplc="08090001">
      <w:start w:val="1"/>
      <w:numFmt w:val="bullet"/>
      <w:lvlText w:val=""/>
      <w:lvlJc w:val="left"/>
      <w:pPr>
        <w:ind w:left="1409" w:hanging="360"/>
      </w:pPr>
      <w:rPr>
        <w:rFonts w:ascii="Symbol" w:hAnsi="Symbol"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5">
    <w:nsid w:val="06CA1C8F"/>
    <w:multiLevelType w:val="hybridMultilevel"/>
    <w:tmpl w:val="AFD4E1F4"/>
    <w:lvl w:ilvl="0" w:tplc="024C8B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FA5723"/>
    <w:multiLevelType w:val="hybridMultilevel"/>
    <w:tmpl w:val="2902C090"/>
    <w:lvl w:ilvl="0" w:tplc="55923754">
      <w:numFmt w:val="decimal"/>
      <w:lvlText w:val="2.%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89604AC"/>
    <w:multiLevelType w:val="hybridMultilevel"/>
    <w:tmpl w:val="3A206690"/>
    <w:lvl w:ilvl="0" w:tplc="E376C916">
      <w:numFmt w:val="decimal"/>
      <w:lvlText w:val="3.%1"/>
      <w:lvlJc w:val="left"/>
      <w:pPr>
        <w:ind w:left="140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703A93"/>
    <w:multiLevelType w:val="hybridMultilevel"/>
    <w:tmpl w:val="6BC859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335EBD"/>
    <w:multiLevelType w:val="multilevel"/>
    <w:tmpl w:val="9D3443D4"/>
    <w:lvl w:ilvl="0">
      <w:start w:val="3"/>
      <w:numFmt w:val="decimal"/>
      <w:lvlText w:val="%1.2"/>
      <w:lvlJc w:val="left"/>
      <w:pPr>
        <w:ind w:left="689"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BFD6272"/>
    <w:multiLevelType w:val="hybridMultilevel"/>
    <w:tmpl w:val="0C76501E"/>
    <w:lvl w:ilvl="0" w:tplc="E376C916">
      <w:numFmt w:val="decimal"/>
      <w:lvlText w:val="3.%1"/>
      <w:lvlJc w:val="left"/>
      <w:pPr>
        <w:ind w:left="1409"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933691"/>
    <w:multiLevelType w:val="hybridMultilevel"/>
    <w:tmpl w:val="C780F1A0"/>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9C40E7"/>
    <w:multiLevelType w:val="multilevel"/>
    <w:tmpl w:val="9BA8EBC0"/>
    <w:lvl w:ilvl="0">
      <w:start w:val="3"/>
      <w:numFmt w:val="decimal"/>
      <w:lvlText w:val="%1.1"/>
      <w:lvlJc w:val="left"/>
      <w:pPr>
        <w:ind w:left="689"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24E3CE8"/>
    <w:multiLevelType w:val="multilevel"/>
    <w:tmpl w:val="CBA8656A"/>
    <w:lvl w:ilvl="0">
      <w:start w:val="4"/>
      <w:numFmt w:val="decimal"/>
      <w:lvlText w:val="2.%1"/>
      <w:lvlJc w:val="left"/>
      <w:pPr>
        <w:ind w:left="831"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2A67DC2"/>
    <w:multiLevelType w:val="multilevel"/>
    <w:tmpl w:val="B840F0A6"/>
    <w:lvl w:ilvl="0">
      <w:start w:val="4"/>
      <w:numFmt w:val="none"/>
      <w:lvlText w:val="3.0"/>
      <w:lvlJc w:val="left"/>
      <w:pPr>
        <w:ind w:left="689"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7">
    <w:nsid w:val="26D85EFC"/>
    <w:multiLevelType w:val="hybridMultilevel"/>
    <w:tmpl w:val="7332AF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nsid w:val="273841BA"/>
    <w:multiLevelType w:val="multilevel"/>
    <w:tmpl w:val="69C4EF1C"/>
    <w:lvl w:ilvl="0">
      <w:start w:val="4"/>
      <w:numFmt w:val="decimal"/>
      <w:lvlText w:val="2.%1"/>
      <w:lvlJc w:val="left"/>
      <w:pPr>
        <w:ind w:left="689"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8131284"/>
    <w:multiLevelType w:val="multilevel"/>
    <w:tmpl w:val="86644262"/>
    <w:lvl w:ilvl="0">
      <w:start w:val="1"/>
      <w:numFmt w:val="decimal"/>
      <w:lvlText w:val="2.%1"/>
      <w:lvlJc w:val="left"/>
      <w:pPr>
        <w:ind w:left="831"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DF54677"/>
    <w:multiLevelType w:val="multilevel"/>
    <w:tmpl w:val="0BB21D1C"/>
    <w:lvl w:ilvl="0">
      <w:start w:val="2"/>
      <w:numFmt w:val="decimal"/>
      <w:lvlText w:val="%1"/>
      <w:lvlJc w:val="left"/>
      <w:pPr>
        <w:ind w:left="468" w:hanging="468"/>
      </w:pPr>
      <w:rPr>
        <w:rFonts w:hint="default"/>
      </w:rPr>
    </w:lvl>
    <w:lvl w:ilvl="1">
      <w:start w:val="37"/>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0B960C8"/>
    <w:multiLevelType w:val="hybridMultilevel"/>
    <w:tmpl w:val="353EFCA2"/>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2">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3E212B7"/>
    <w:multiLevelType w:val="multilevel"/>
    <w:tmpl w:val="C5C22A4A"/>
    <w:lvl w:ilvl="0">
      <w:start w:val="4"/>
      <w:numFmt w:val="decimal"/>
      <w:lvlText w:val="%1.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45C60A8"/>
    <w:multiLevelType w:val="hybridMultilevel"/>
    <w:tmpl w:val="C532BF7A"/>
    <w:lvl w:ilvl="0" w:tplc="C42A3AE2">
      <w:numFmt w:val="decimal"/>
      <w:lvlText w:val="4.%1"/>
      <w:lvlJc w:val="left"/>
      <w:pPr>
        <w:ind w:left="12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E273BD"/>
    <w:multiLevelType w:val="hybridMultilevel"/>
    <w:tmpl w:val="886CF9C4"/>
    <w:lvl w:ilvl="0" w:tplc="B1A47942">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6D66CCE"/>
    <w:multiLevelType w:val="hybridMultilevel"/>
    <w:tmpl w:val="0D80678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37127806"/>
    <w:multiLevelType w:val="multilevel"/>
    <w:tmpl w:val="841A40A8"/>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28">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DB2DEA"/>
    <w:multiLevelType w:val="hybridMultilevel"/>
    <w:tmpl w:val="27AC7F6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0">
    <w:nsid w:val="3D326210"/>
    <w:multiLevelType w:val="multilevel"/>
    <w:tmpl w:val="2446F1BA"/>
    <w:lvl w:ilvl="0">
      <w:numFmt w:val="decimal"/>
      <w:lvlText w:val="3.%1"/>
      <w:lvlJc w:val="left"/>
      <w:pPr>
        <w:ind w:left="644"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1A454D"/>
    <w:multiLevelType w:val="hybridMultilevel"/>
    <w:tmpl w:val="CD527808"/>
    <w:lvl w:ilvl="0" w:tplc="A838E722">
      <w:start w:val="4"/>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3F66F3E"/>
    <w:multiLevelType w:val="multilevel"/>
    <w:tmpl w:val="0AE8D504"/>
    <w:lvl w:ilvl="0">
      <w:start w:val="1"/>
      <w:numFmt w:val="decimal"/>
      <w:lvlText w:val="2.%1"/>
      <w:lvlJc w:val="left"/>
      <w:pPr>
        <w:ind w:left="831"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4B1055B"/>
    <w:multiLevelType w:val="hybridMultilevel"/>
    <w:tmpl w:val="519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35">
    <w:nsid w:val="465C7E97"/>
    <w:multiLevelType w:val="hybridMultilevel"/>
    <w:tmpl w:val="AE72FD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46B25226"/>
    <w:multiLevelType w:val="multilevel"/>
    <w:tmpl w:val="9D3443D4"/>
    <w:lvl w:ilvl="0">
      <w:start w:val="3"/>
      <w:numFmt w:val="decimal"/>
      <w:lvlText w:val="%1.2"/>
      <w:lvlJc w:val="left"/>
      <w:pPr>
        <w:ind w:left="689"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489C464D"/>
    <w:multiLevelType w:val="hybridMultilevel"/>
    <w:tmpl w:val="7A0CAA0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8">
    <w:nsid w:val="49627DB3"/>
    <w:multiLevelType w:val="hybridMultilevel"/>
    <w:tmpl w:val="2934F9DC"/>
    <w:lvl w:ilvl="0" w:tplc="08090001">
      <w:start w:val="1"/>
      <w:numFmt w:val="bullet"/>
      <w:lvlText w:val=""/>
      <w:lvlJc w:val="left"/>
      <w:pPr>
        <w:ind w:left="720" w:hanging="360"/>
      </w:pPr>
      <w:rPr>
        <w:rFonts w:ascii="Symbol" w:hAnsi="Symbol" w:hint="default"/>
        <w:b w:val="0"/>
        <w:sz w:val="24"/>
        <w:szCs w:val="24"/>
      </w:rPr>
    </w:lvl>
    <w:lvl w:ilvl="1" w:tplc="08090001">
      <w:start w:val="1"/>
      <w:numFmt w:val="bullet"/>
      <w:lvlText w:val=""/>
      <w:lvlJc w:val="left"/>
      <w:pPr>
        <w:ind w:left="1637"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9D8331C"/>
    <w:multiLevelType w:val="hybridMultilevel"/>
    <w:tmpl w:val="DC3A2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A7F3CA1"/>
    <w:multiLevelType w:val="hybridMultilevel"/>
    <w:tmpl w:val="61267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4CF066E4"/>
    <w:multiLevelType w:val="multilevel"/>
    <w:tmpl w:val="BF98A8C0"/>
    <w:lvl w:ilvl="0">
      <w:start w:val="20"/>
      <w:numFmt w:val="decimal"/>
      <w:lvlText w:val="2.%1"/>
      <w:lvlJc w:val="left"/>
      <w:pPr>
        <w:ind w:left="831" w:hanging="405"/>
      </w:pPr>
      <w:rPr>
        <w:rFonts w:hint="default"/>
        <w:b w:val="0"/>
      </w:rPr>
    </w:lvl>
    <w:lvl w:ilvl="1">
      <w:start w:val="1"/>
      <w:numFmt w:val="bullet"/>
      <w:lvlText w:val=""/>
      <w:lvlJc w:val="left"/>
      <w:pPr>
        <w:ind w:left="1125" w:hanging="405"/>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4D60265F"/>
    <w:multiLevelType w:val="hybridMultilevel"/>
    <w:tmpl w:val="87DC8A24"/>
    <w:lvl w:ilvl="0" w:tplc="08090001">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43">
    <w:nsid w:val="4DBB33CE"/>
    <w:multiLevelType w:val="hybridMultilevel"/>
    <w:tmpl w:val="EA344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60F37CD"/>
    <w:multiLevelType w:val="hybridMultilevel"/>
    <w:tmpl w:val="7C1E0AC6"/>
    <w:lvl w:ilvl="0" w:tplc="0FB60342">
      <w:start w:val="7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nsid w:val="574C5856"/>
    <w:multiLevelType w:val="multilevel"/>
    <w:tmpl w:val="F5FC810E"/>
    <w:lvl w:ilvl="0">
      <w:numFmt w:val="decimal"/>
      <w:lvlText w:val="1.%1"/>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6">
    <w:nsid w:val="576C1506"/>
    <w:multiLevelType w:val="multilevel"/>
    <w:tmpl w:val="1DDCF1AC"/>
    <w:lvl w:ilvl="0">
      <w:numFmt w:val="decimal"/>
      <w:lvlText w:val="4.%1"/>
      <w:lvlJc w:val="left"/>
      <w:pPr>
        <w:ind w:left="547" w:hanging="405"/>
      </w:pPr>
      <w:rPr>
        <w:rFonts w:hint="default"/>
        <w:b w:val="0"/>
      </w:rPr>
    </w:lvl>
    <w:lvl w:ilvl="1">
      <w:start w:val="1"/>
      <w:numFmt w:val="decimal"/>
      <w:lvlText w:val="%1.%2"/>
      <w:lvlJc w:val="left"/>
      <w:pPr>
        <w:ind w:left="983" w:hanging="405"/>
      </w:pPr>
      <w:rPr>
        <w:rFonts w:hint="default"/>
        <w:b w:val="0"/>
      </w:rPr>
    </w:lvl>
    <w:lvl w:ilvl="2">
      <w:start w:val="1"/>
      <w:numFmt w:val="decimal"/>
      <w:lvlText w:val="%1.%2.%3"/>
      <w:lvlJc w:val="left"/>
      <w:pPr>
        <w:ind w:left="2018" w:hanging="72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698" w:hanging="1800"/>
      </w:pPr>
      <w:rPr>
        <w:rFonts w:hint="default"/>
      </w:rPr>
    </w:lvl>
    <w:lvl w:ilvl="8">
      <w:start w:val="1"/>
      <w:numFmt w:val="decimal"/>
      <w:lvlText w:val="%1.%2.%3.%4.%5.%6.%7.%8.%9"/>
      <w:lvlJc w:val="left"/>
      <w:pPr>
        <w:ind w:left="7418" w:hanging="1800"/>
      </w:pPr>
      <w:rPr>
        <w:rFonts w:hint="default"/>
      </w:rPr>
    </w:lvl>
  </w:abstractNum>
  <w:abstractNum w:abstractNumId="47">
    <w:nsid w:val="58A16734"/>
    <w:multiLevelType w:val="multilevel"/>
    <w:tmpl w:val="0D06017E"/>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48">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nsid w:val="5BB62F7D"/>
    <w:multiLevelType w:val="hybridMultilevel"/>
    <w:tmpl w:val="218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92675B"/>
    <w:multiLevelType w:val="multilevel"/>
    <w:tmpl w:val="F4F6049C"/>
    <w:lvl w:ilvl="0">
      <w:start w:val="1"/>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5DB370AA"/>
    <w:multiLevelType w:val="hybridMultilevel"/>
    <w:tmpl w:val="E1D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E6E676F"/>
    <w:multiLevelType w:val="hybridMultilevel"/>
    <w:tmpl w:val="A51CB1F4"/>
    <w:lvl w:ilvl="0" w:tplc="55923754">
      <w:numFmt w:val="decimal"/>
      <w:lvlText w:val="2.%1"/>
      <w:lvlJc w:val="left"/>
      <w:pPr>
        <w:ind w:left="1410" w:hanging="360"/>
      </w:pPr>
      <w:rPr>
        <w:rFonts w:hint="default"/>
        <w:b w:val="0"/>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53">
    <w:nsid w:val="5F422963"/>
    <w:multiLevelType w:val="hybridMultilevel"/>
    <w:tmpl w:val="F6FE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F6625DC"/>
    <w:multiLevelType w:val="hybridMultilevel"/>
    <w:tmpl w:val="D1E6DE9A"/>
    <w:lvl w:ilvl="0" w:tplc="7EEC96A2">
      <w:numFmt w:val="decimal"/>
      <w:lvlText w:val="2.%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5F91114B"/>
    <w:multiLevelType w:val="hybridMultilevel"/>
    <w:tmpl w:val="7F0441E4"/>
    <w:lvl w:ilvl="0" w:tplc="3EACACB2">
      <w:start w:val="1"/>
      <w:numFmt w:val="bullet"/>
      <w:lvlText w:val=""/>
      <w:lvlJc w:val="left"/>
      <w:pPr>
        <w:ind w:left="1429" w:hanging="360"/>
      </w:pPr>
      <w:rPr>
        <w:rFonts w:ascii="Symbol" w:hAnsi="Symbol" w:hint="default"/>
        <w:color w:val="00000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6">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nsid w:val="5FD82CE0"/>
    <w:multiLevelType w:val="multilevel"/>
    <w:tmpl w:val="94FC3506"/>
    <w:lvl w:ilvl="0">
      <w:start w:val="18"/>
      <w:numFmt w:val="decimal"/>
      <w:lvlText w:val="2.%1"/>
      <w:lvlJc w:val="left"/>
      <w:pPr>
        <w:ind w:left="831" w:hanging="405"/>
      </w:pPr>
      <w:rPr>
        <w:rFonts w:hint="default"/>
        <w:b w:val="0"/>
      </w:rPr>
    </w:lvl>
    <w:lvl w:ilvl="1">
      <w:start w:val="1"/>
      <w:numFmt w:val="bullet"/>
      <w:lvlText w:val=""/>
      <w:lvlJc w:val="left"/>
      <w:pPr>
        <w:ind w:left="1125" w:hanging="405"/>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nsid w:val="60FF6913"/>
    <w:multiLevelType w:val="multilevel"/>
    <w:tmpl w:val="5AAE4CCA"/>
    <w:lvl w:ilvl="0">
      <w:start w:val="1"/>
      <w:numFmt w:val="bullet"/>
      <w:lvlText w:val=""/>
      <w:lvlJc w:val="left"/>
      <w:pPr>
        <w:ind w:left="831" w:hanging="405"/>
      </w:pPr>
      <w:rPr>
        <w:rFonts w:ascii="Symbol" w:hAnsi="Symbol"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nsid w:val="63766A2A"/>
    <w:multiLevelType w:val="hybridMultilevel"/>
    <w:tmpl w:val="9006CE88"/>
    <w:lvl w:ilvl="0" w:tplc="E376C916">
      <w:numFmt w:val="decimal"/>
      <w:lvlText w:val="3.%1"/>
      <w:lvlJc w:val="left"/>
      <w:pPr>
        <w:ind w:left="928"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6DC4822"/>
    <w:multiLevelType w:val="multilevel"/>
    <w:tmpl w:val="49582636"/>
    <w:lvl w:ilvl="0">
      <w:start w:val="1"/>
      <w:numFmt w:val="decimal"/>
      <w:lvlText w:val="%1"/>
      <w:lvlJc w:val="left"/>
      <w:pPr>
        <w:ind w:left="360" w:hanging="360"/>
      </w:pPr>
      <w:rPr>
        <w:rFonts w:hint="default"/>
      </w:rPr>
    </w:lvl>
    <w:lvl w:ilvl="1">
      <w:start w:val="2"/>
      <w:numFmt w:val="decimal"/>
      <w:lvlText w:val="%1.3"/>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61">
    <w:nsid w:val="67154AA1"/>
    <w:multiLevelType w:val="hybridMultilevel"/>
    <w:tmpl w:val="895C0134"/>
    <w:lvl w:ilvl="0" w:tplc="08090017">
      <w:start w:val="1"/>
      <w:numFmt w:val="lowerLetter"/>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D662A8F"/>
    <w:multiLevelType w:val="multilevel"/>
    <w:tmpl w:val="D27EAA68"/>
    <w:lvl w:ilvl="0">
      <w:start w:val="2"/>
      <w:numFmt w:val="decimal"/>
      <w:lvlText w:val="%1"/>
      <w:lvlJc w:val="left"/>
      <w:pPr>
        <w:ind w:left="468" w:hanging="468"/>
      </w:pPr>
      <w:rPr>
        <w:rFonts w:hint="default"/>
      </w:rPr>
    </w:lvl>
    <w:lvl w:ilvl="1">
      <w:start w:val="3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6E8C3448"/>
    <w:multiLevelType w:val="hybridMultilevel"/>
    <w:tmpl w:val="DB1687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nsid w:val="6E96411C"/>
    <w:multiLevelType w:val="hybridMultilevel"/>
    <w:tmpl w:val="DC320C32"/>
    <w:lvl w:ilvl="0" w:tplc="E376C916">
      <w:numFmt w:val="decimal"/>
      <w:lvlText w:val="3.%1"/>
      <w:lvlJc w:val="left"/>
      <w:pPr>
        <w:ind w:left="1409"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6">
    <w:nsid w:val="730553DF"/>
    <w:multiLevelType w:val="hybridMultilevel"/>
    <w:tmpl w:val="D89679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7">
    <w:nsid w:val="74EB1E01"/>
    <w:multiLevelType w:val="hybridMultilevel"/>
    <w:tmpl w:val="E1ECDE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0">
    <w:nsid w:val="7FEB26CB"/>
    <w:multiLevelType w:val="multilevel"/>
    <w:tmpl w:val="D332AA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0"/>
  </w:num>
  <w:num w:numId="3">
    <w:abstractNumId w:val="1"/>
  </w:num>
  <w:num w:numId="4">
    <w:abstractNumId w:val="25"/>
  </w:num>
  <w:num w:numId="5">
    <w:abstractNumId w:val="21"/>
  </w:num>
  <w:num w:numId="6">
    <w:abstractNumId w:val="8"/>
  </w:num>
  <w:num w:numId="7">
    <w:abstractNumId w:val="55"/>
  </w:num>
  <w:num w:numId="8">
    <w:abstractNumId w:val="26"/>
  </w:num>
  <w:num w:numId="9">
    <w:abstractNumId w:val="48"/>
  </w:num>
  <w:num w:numId="10">
    <w:abstractNumId w:val="37"/>
  </w:num>
  <w:num w:numId="11">
    <w:abstractNumId w:val="70"/>
  </w:num>
  <w:num w:numId="12">
    <w:abstractNumId w:val="28"/>
  </w:num>
  <w:num w:numId="13">
    <w:abstractNumId w:val="15"/>
  </w:num>
  <w:num w:numId="14">
    <w:abstractNumId w:val="14"/>
  </w:num>
  <w:num w:numId="15">
    <w:abstractNumId w:val="18"/>
  </w:num>
  <w:num w:numId="16">
    <w:abstractNumId w:val="2"/>
  </w:num>
  <w:num w:numId="17">
    <w:abstractNumId w:val="13"/>
  </w:num>
  <w:num w:numId="18">
    <w:abstractNumId w:val="46"/>
  </w:num>
  <w:num w:numId="19">
    <w:abstractNumId w:val="36"/>
  </w:num>
  <w:num w:numId="20">
    <w:abstractNumId w:val="10"/>
  </w:num>
  <w:num w:numId="21">
    <w:abstractNumId w:val="31"/>
  </w:num>
  <w:num w:numId="22">
    <w:abstractNumId w:val="59"/>
  </w:num>
  <w:num w:numId="23">
    <w:abstractNumId w:val="7"/>
  </w:num>
  <w:num w:numId="24">
    <w:abstractNumId w:val="16"/>
  </w:num>
  <w:num w:numId="25">
    <w:abstractNumId w:val="68"/>
  </w:num>
  <w:num w:numId="26">
    <w:abstractNumId w:val="30"/>
  </w:num>
  <w:num w:numId="27">
    <w:abstractNumId w:val="52"/>
  </w:num>
  <w:num w:numId="28">
    <w:abstractNumId w:val="6"/>
  </w:num>
  <w:num w:numId="29">
    <w:abstractNumId w:val="54"/>
  </w:num>
  <w:num w:numId="30">
    <w:abstractNumId w:val="45"/>
  </w:num>
  <w:num w:numId="31">
    <w:abstractNumId w:val="60"/>
  </w:num>
  <w:num w:numId="32">
    <w:abstractNumId w:val="38"/>
  </w:num>
  <w:num w:numId="33">
    <w:abstractNumId w:val="4"/>
  </w:num>
  <w:num w:numId="34">
    <w:abstractNumId w:val="17"/>
  </w:num>
  <w:num w:numId="35">
    <w:abstractNumId w:val="12"/>
  </w:num>
  <w:num w:numId="36">
    <w:abstractNumId w:val="43"/>
  </w:num>
  <w:num w:numId="37">
    <w:abstractNumId w:val="29"/>
  </w:num>
  <w:num w:numId="38">
    <w:abstractNumId w:val="11"/>
  </w:num>
  <w:num w:numId="39">
    <w:abstractNumId w:val="64"/>
  </w:num>
  <w:num w:numId="40">
    <w:abstractNumId w:val="49"/>
  </w:num>
  <w:num w:numId="41">
    <w:abstractNumId w:val="39"/>
  </w:num>
  <w:num w:numId="42">
    <w:abstractNumId w:val="53"/>
  </w:num>
  <w:num w:numId="43">
    <w:abstractNumId w:val="24"/>
  </w:num>
  <w:num w:numId="44">
    <w:abstractNumId w:val="5"/>
  </w:num>
  <w:num w:numId="45">
    <w:abstractNumId w:val="3"/>
  </w:num>
  <w:num w:numId="46">
    <w:abstractNumId w:val="34"/>
  </w:num>
  <w:num w:numId="47">
    <w:abstractNumId w:val="56"/>
  </w:num>
  <w:num w:numId="48">
    <w:abstractNumId w:val="22"/>
  </w:num>
  <w:num w:numId="49">
    <w:abstractNumId w:val="69"/>
  </w:num>
  <w:num w:numId="50">
    <w:abstractNumId w:val="65"/>
  </w:num>
  <w:num w:numId="51">
    <w:abstractNumId w:val="23"/>
  </w:num>
  <w:num w:numId="52">
    <w:abstractNumId w:val="47"/>
  </w:num>
  <w:num w:numId="53">
    <w:abstractNumId w:val="33"/>
  </w:num>
  <w:num w:numId="54">
    <w:abstractNumId w:val="44"/>
  </w:num>
  <w:num w:numId="55">
    <w:abstractNumId w:val="19"/>
  </w:num>
  <w:num w:numId="56">
    <w:abstractNumId w:val="61"/>
  </w:num>
  <w:num w:numId="57">
    <w:abstractNumId w:val="66"/>
  </w:num>
  <w:num w:numId="58">
    <w:abstractNumId w:val="35"/>
  </w:num>
  <w:num w:numId="59">
    <w:abstractNumId w:val="51"/>
  </w:num>
  <w:num w:numId="60">
    <w:abstractNumId w:val="32"/>
  </w:num>
  <w:num w:numId="61">
    <w:abstractNumId w:val="57"/>
  </w:num>
  <w:num w:numId="62">
    <w:abstractNumId w:val="67"/>
  </w:num>
  <w:num w:numId="63">
    <w:abstractNumId w:val="58"/>
  </w:num>
  <w:num w:numId="64">
    <w:abstractNumId w:val="41"/>
  </w:num>
  <w:num w:numId="65">
    <w:abstractNumId w:val="42"/>
  </w:num>
  <w:num w:numId="66">
    <w:abstractNumId w:val="27"/>
  </w:num>
  <w:num w:numId="67">
    <w:abstractNumId w:val="62"/>
  </w:num>
  <w:num w:numId="68">
    <w:abstractNumId w:val="20"/>
  </w:num>
  <w:num w:numId="69">
    <w:abstractNumId w:val="40"/>
  </w:num>
  <w:num w:numId="70">
    <w:abstractNumId w:val="0"/>
  </w:num>
  <w:num w:numId="71">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4/08/2019 13:11"/>
  </w:docVars>
  <w:rsids>
    <w:rsidRoot w:val="00333FAA"/>
    <w:rsid w:val="000000DD"/>
    <w:rsid w:val="0000089B"/>
    <w:rsid w:val="000026C3"/>
    <w:rsid w:val="00004286"/>
    <w:rsid w:val="000058C5"/>
    <w:rsid w:val="00005F26"/>
    <w:rsid w:val="00006B72"/>
    <w:rsid w:val="00007064"/>
    <w:rsid w:val="000142E6"/>
    <w:rsid w:val="000176F7"/>
    <w:rsid w:val="00021610"/>
    <w:rsid w:val="00021CD0"/>
    <w:rsid w:val="00021D4C"/>
    <w:rsid w:val="00022E80"/>
    <w:rsid w:val="000302C0"/>
    <w:rsid w:val="0003222D"/>
    <w:rsid w:val="000349E9"/>
    <w:rsid w:val="00034A1D"/>
    <w:rsid w:val="000358A6"/>
    <w:rsid w:val="00035F2C"/>
    <w:rsid w:val="000368EA"/>
    <w:rsid w:val="00040241"/>
    <w:rsid w:val="0004029A"/>
    <w:rsid w:val="00045E83"/>
    <w:rsid w:val="00046812"/>
    <w:rsid w:val="0006034E"/>
    <w:rsid w:val="00063783"/>
    <w:rsid w:val="00063D00"/>
    <w:rsid w:val="000645AE"/>
    <w:rsid w:val="00064D14"/>
    <w:rsid w:val="00070FDB"/>
    <w:rsid w:val="00071382"/>
    <w:rsid w:val="00072658"/>
    <w:rsid w:val="00072CAD"/>
    <w:rsid w:val="00072D88"/>
    <w:rsid w:val="000735B3"/>
    <w:rsid w:val="00073765"/>
    <w:rsid w:val="00073986"/>
    <w:rsid w:val="0008246E"/>
    <w:rsid w:val="00082F83"/>
    <w:rsid w:val="00083283"/>
    <w:rsid w:val="000860A6"/>
    <w:rsid w:val="0008678F"/>
    <w:rsid w:val="00090A67"/>
    <w:rsid w:val="000929A6"/>
    <w:rsid w:val="00094111"/>
    <w:rsid w:val="000A0AE8"/>
    <w:rsid w:val="000A4010"/>
    <w:rsid w:val="000B14FE"/>
    <w:rsid w:val="000B5015"/>
    <w:rsid w:val="000B5467"/>
    <w:rsid w:val="000B788F"/>
    <w:rsid w:val="000C0031"/>
    <w:rsid w:val="000C154C"/>
    <w:rsid w:val="000C2074"/>
    <w:rsid w:val="000C292F"/>
    <w:rsid w:val="000C2B5C"/>
    <w:rsid w:val="000D3E5A"/>
    <w:rsid w:val="000D4E36"/>
    <w:rsid w:val="000D6120"/>
    <w:rsid w:val="000D66AA"/>
    <w:rsid w:val="000D7E6E"/>
    <w:rsid w:val="000E2117"/>
    <w:rsid w:val="000E62FE"/>
    <w:rsid w:val="000F1E8A"/>
    <w:rsid w:val="000F36FF"/>
    <w:rsid w:val="000F39CA"/>
    <w:rsid w:val="000F67D8"/>
    <w:rsid w:val="000F6980"/>
    <w:rsid w:val="000F6DDC"/>
    <w:rsid w:val="001014C2"/>
    <w:rsid w:val="00101FE5"/>
    <w:rsid w:val="0010279C"/>
    <w:rsid w:val="00102F9A"/>
    <w:rsid w:val="0010385F"/>
    <w:rsid w:val="00110D8C"/>
    <w:rsid w:val="0011192C"/>
    <w:rsid w:val="00115786"/>
    <w:rsid w:val="00115A71"/>
    <w:rsid w:val="001161E4"/>
    <w:rsid w:val="0011745B"/>
    <w:rsid w:val="0011774B"/>
    <w:rsid w:val="001244A9"/>
    <w:rsid w:val="00125A26"/>
    <w:rsid w:val="00132FB9"/>
    <w:rsid w:val="00135321"/>
    <w:rsid w:val="00140199"/>
    <w:rsid w:val="00142A38"/>
    <w:rsid w:val="0015017B"/>
    <w:rsid w:val="0015034B"/>
    <w:rsid w:val="0015376F"/>
    <w:rsid w:val="0015573B"/>
    <w:rsid w:val="001560D1"/>
    <w:rsid w:val="0016099B"/>
    <w:rsid w:val="001614E0"/>
    <w:rsid w:val="00163BC6"/>
    <w:rsid w:val="0016421D"/>
    <w:rsid w:val="00166170"/>
    <w:rsid w:val="00167715"/>
    <w:rsid w:val="00167F0A"/>
    <w:rsid w:val="00171BD8"/>
    <w:rsid w:val="0017653E"/>
    <w:rsid w:val="001767DA"/>
    <w:rsid w:val="00182B01"/>
    <w:rsid w:val="001840D2"/>
    <w:rsid w:val="001878D3"/>
    <w:rsid w:val="00187F3F"/>
    <w:rsid w:val="00190F7A"/>
    <w:rsid w:val="00192915"/>
    <w:rsid w:val="001966D7"/>
    <w:rsid w:val="001A0D5D"/>
    <w:rsid w:val="001A4359"/>
    <w:rsid w:val="001B3B6F"/>
    <w:rsid w:val="001B47BC"/>
    <w:rsid w:val="001C2ADC"/>
    <w:rsid w:val="001C335E"/>
    <w:rsid w:val="001C3C14"/>
    <w:rsid w:val="001C4034"/>
    <w:rsid w:val="001C4D2E"/>
    <w:rsid w:val="001C7E35"/>
    <w:rsid w:val="001D0544"/>
    <w:rsid w:val="001D7456"/>
    <w:rsid w:val="001D7F5C"/>
    <w:rsid w:val="001E02FE"/>
    <w:rsid w:val="001E13BF"/>
    <w:rsid w:val="001E2104"/>
    <w:rsid w:val="001E3C06"/>
    <w:rsid w:val="001E6692"/>
    <w:rsid w:val="001F0037"/>
    <w:rsid w:val="001F0A34"/>
    <w:rsid w:val="001F0BE9"/>
    <w:rsid w:val="001F108C"/>
    <w:rsid w:val="001F5350"/>
    <w:rsid w:val="001F7A96"/>
    <w:rsid w:val="00202D79"/>
    <w:rsid w:val="00205D2F"/>
    <w:rsid w:val="00206805"/>
    <w:rsid w:val="00206AA1"/>
    <w:rsid w:val="00207C16"/>
    <w:rsid w:val="00210E08"/>
    <w:rsid w:val="0021339E"/>
    <w:rsid w:val="002149E3"/>
    <w:rsid w:val="00215E8F"/>
    <w:rsid w:val="002167BA"/>
    <w:rsid w:val="002209D6"/>
    <w:rsid w:val="00221D9F"/>
    <w:rsid w:val="002322BB"/>
    <w:rsid w:val="0023702C"/>
    <w:rsid w:val="002373CE"/>
    <w:rsid w:val="00241CC8"/>
    <w:rsid w:val="00241F3D"/>
    <w:rsid w:val="002435DA"/>
    <w:rsid w:val="00251254"/>
    <w:rsid w:val="002529E2"/>
    <w:rsid w:val="002548D1"/>
    <w:rsid w:val="002564BA"/>
    <w:rsid w:val="0026277B"/>
    <w:rsid w:val="0027283B"/>
    <w:rsid w:val="00273559"/>
    <w:rsid w:val="00274392"/>
    <w:rsid w:val="0028019B"/>
    <w:rsid w:val="002820DE"/>
    <w:rsid w:val="00282C15"/>
    <w:rsid w:val="00283CAB"/>
    <w:rsid w:val="00286C92"/>
    <w:rsid w:val="00287A95"/>
    <w:rsid w:val="0029107D"/>
    <w:rsid w:val="00292AEE"/>
    <w:rsid w:val="00293255"/>
    <w:rsid w:val="002932B9"/>
    <w:rsid w:val="0029530B"/>
    <w:rsid w:val="00297D4C"/>
    <w:rsid w:val="00297E46"/>
    <w:rsid w:val="002A25ED"/>
    <w:rsid w:val="002A360B"/>
    <w:rsid w:val="002A3FEF"/>
    <w:rsid w:val="002A7905"/>
    <w:rsid w:val="002A7DE1"/>
    <w:rsid w:val="002B3F28"/>
    <w:rsid w:val="002B4991"/>
    <w:rsid w:val="002B54A6"/>
    <w:rsid w:val="002C2D74"/>
    <w:rsid w:val="002D0036"/>
    <w:rsid w:val="002D1F3E"/>
    <w:rsid w:val="002D275F"/>
    <w:rsid w:val="002D4886"/>
    <w:rsid w:val="002D4934"/>
    <w:rsid w:val="002E0B22"/>
    <w:rsid w:val="002E12CA"/>
    <w:rsid w:val="002E159B"/>
    <w:rsid w:val="002E1DF4"/>
    <w:rsid w:val="002F3EE9"/>
    <w:rsid w:val="002F6E4E"/>
    <w:rsid w:val="00303946"/>
    <w:rsid w:val="00306977"/>
    <w:rsid w:val="00307F76"/>
    <w:rsid w:val="00312B7A"/>
    <w:rsid w:val="00315406"/>
    <w:rsid w:val="003205D2"/>
    <w:rsid w:val="00321FBB"/>
    <w:rsid w:val="00323BA1"/>
    <w:rsid w:val="00324298"/>
    <w:rsid w:val="003242C6"/>
    <w:rsid w:val="00324484"/>
    <w:rsid w:val="00330B3A"/>
    <w:rsid w:val="00333FAA"/>
    <w:rsid w:val="003355D7"/>
    <w:rsid w:val="0033591C"/>
    <w:rsid w:val="003362A6"/>
    <w:rsid w:val="0033656D"/>
    <w:rsid w:val="0034477A"/>
    <w:rsid w:val="003472CA"/>
    <w:rsid w:val="0035290A"/>
    <w:rsid w:val="0035555F"/>
    <w:rsid w:val="00361427"/>
    <w:rsid w:val="0036201C"/>
    <w:rsid w:val="003634DA"/>
    <w:rsid w:val="00366452"/>
    <w:rsid w:val="003745F4"/>
    <w:rsid w:val="00376768"/>
    <w:rsid w:val="00377C3C"/>
    <w:rsid w:val="00381586"/>
    <w:rsid w:val="00381A1C"/>
    <w:rsid w:val="00382956"/>
    <w:rsid w:val="00383D3D"/>
    <w:rsid w:val="003845B4"/>
    <w:rsid w:val="0038526C"/>
    <w:rsid w:val="00386282"/>
    <w:rsid w:val="003903B4"/>
    <w:rsid w:val="00394D2F"/>
    <w:rsid w:val="00396290"/>
    <w:rsid w:val="003A222F"/>
    <w:rsid w:val="003A5662"/>
    <w:rsid w:val="003A7031"/>
    <w:rsid w:val="003B2C4A"/>
    <w:rsid w:val="003B445A"/>
    <w:rsid w:val="003B596E"/>
    <w:rsid w:val="003C7A65"/>
    <w:rsid w:val="003D275F"/>
    <w:rsid w:val="003D291D"/>
    <w:rsid w:val="003D5C72"/>
    <w:rsid w:val="003D6931"/>
    <w:rsid w:val="003D7EE2"/>
    <w:rsid w:val="003E2127"/>
    <w:rsid w:val="003E56AE"/>
    <w:rsid w:val="003F2777"/>
    <w:rsid w:val="003F2CBB"/>
    <w:rsid w:val="003F3AFD"/>
    <w:rsid w:val="003F5C50"/>
    <w:rsid w:val="003F77BB"/>
    <w:rsid w:val="004029CC"/>
    <w:rsid w:val="004076C8"/>
    <w:rsid w:val="00411877"/>
    <w:rsid w:val="0041291A"/>
    <w:rsid w:val="004134A1"/>
    <w:rsid w:val="004147C5"/>
    <w:rsid w:val="0041621A"/>
    <w:rsid w:val="004177DA"/>
    <w:rsid w:val="004207E3"/>
    <w:rsid w:val="00421A4C"/>
    <w:rsid w:val="004238C2"/>
    <w:rsid w:val="00427B10"/>
    <w:rsid w:val="004334C4"/>
    <w:rsid w:val="00435B5D"/>
    <w:rsid w:val="004363F7"/>
    <w:rsid w:val="00436A0B"/>
    <w:rsid w:val="0043711A"/>
    <w:rsid w:val="004409DB"/>
    <w:rsid w:val="0044525C"/>
    <w:rsid w:val="00446D9A"/>
    <w:rsid w:val="004553F1"/>
    <w:rsid w:val="0045548A"/>
    <w:rsid w:val="00460592"/>
    <w:rsid w:val="00467517"/>
    <w:rsid w:val="00471C1F"/>
    <w:rsid w:val="004724BB"/>
    <w:rsid w:val="00472810"/>
    <w:rsid w:val="0047663D"/>
    <w:rsid w:val="004809FA"/>
    <w:rsid w:val="0048175C"/>
    <w:rsid w:val="004859CC"/>
    <w:rsid w:val="004863F0"/>
    <w:rsid w:val="00492EC0"/>
    <w:rsid w:val="00494906"/>
    <w:rsid w:val="004962B1"/>
    <w:rsid w:val="004964F6"/>
    <w:rsid w:val="00496F06"/>
    <w:rsid w:val="004A1570"/>
    <w:rsid w:val="004A1914"/>
    <w:rsid w:val="004A2172"/>
    <w:rsid w:val="004B39DE"/>
    <w:rsid w:val="004C0103"/>
    <w:rsid w:val="004C22A1"/>
    <w:rsid w:val="004C352A"/>
    <w:rsid w:val="004C4A75"/>
    <w:rsid w:val="004C5DDA"/>
    <w:rsid w:val="004D2735"/>
    <w:rsid w:val="004D2DA0"/>
    <w:rsid w:val="004D2F40"/>
    <w:rsid w:val="004E1405"/>
    <w:rsid w:val="004E14A4"/>
    <w:rsid w:val="004E3277"/>
    <w:rsid w:val="004E4191"/>
    <w:rsid w:val="004E537F"/>
    <w:rsid w:val="004E6609"/>
    <w:rsid w:val="004E719D"/>
    <w:rsid w:val="004E7D57"/>
    <w:rsid w:val="004F0BF8"/>
    <w:rsid w:val="004F54BD"/>
    <w:rsid w:val="004F56C5"/>
    <w:rsid w:val="0050151D"/>
    <w:rsid w:val="00503B6C"/>
    <w:rsid w:val="005054F7"/>
    <w:rsid w:val="00506273"/>
    <w:rsid w:val="00514C91"/>
    <w:rsid w:val="005178DB"/>
    <w:rsid w:val="00517C7D"/>
    <w:rsid w:val="00521A83"/>
    <w:rsid w:val="0052515D"/>
    <w:rsid w:val="00525691"/>
    <w:rsid w:val="00532408"/>
    <w:rsid w:val="0053484E"/>
    <w:rsid w:val="005354D0"/>
    <w:rsid w:val="00535922"/>
    <w:rsid w:val="0054172C"/>
    <w:rsid w:val="00541FD9"/>
    <w:rsid w:val="00543AAE"/>
    <w:rsid w:val="0054590F"/>
    <w:rsid w:val="005459EC"/>
    <w:rsid w:val="00547729"/>
    <w:rsid w:val="0055416F"/>
    <w:rsid w:val="00555A6E"/>
    <w:rsid w:val="0055733D"/>
    <w:rsid w:val="005577B8"/>
    <w:rsid w:val="00560DEF"/>
    <w:rsid w:val="00562685"/>
    <w:rsid w:val="00562D59"/>
    <w:rsid w:val="0056344D"/>
    <w:rsid w:val="005641E0"/>
    <w:rsid w:val="00566663"/>
    <w:rsid w:val="005709FA"/>
    <w:rsid w:val="0057166B"/>
    <w:rsid w:val="005718B5"/>
    <w:rsid w:val="00572A3F"/>
    <w:rsid w:val="00573E18"/>
    <w:rsid w:val="00574551"/>
    <w:rsid w:val="00574F6C"/>
    <w:rsid w:val="005808FB"/>
    <w:rsid w:val="00582605"/>
    <w:rsid w:val="005842EB"/>
    <w:rsid w:val="00591016"/>
    <w:rsid w:val="00593F3C"/>
    <w:rsid w:val="0059649F"/>
    <w:rsid w:val="00596713"/>
    <w:rsid w:val="005A00DC"/>
    <w:rsid w:val="005A045F"/>
    <w:rsid w:val="005A2570"/>
    <w:rsid w:val="005A2C5E"/>
    <w:rsid w:val="005A4F77"/>
    <w:rsid w:val="005A55A9"/>
    <w:rsid w:val="005A607A"/>
    <w:rsid w:val="005A639A"/>
    <w:rsid w:val="005B0A85"/>
    <w:rsid w:val="005B3F67"/>
    <w:rsid w:val="005B43CA"/>
    <w:rsid w:val="005C295F"/>
    <w:rsid w:val="005C42F2"/>
    <w:rsid w:val="005C4B80"/>
    <w:rsid w:val="005D0176"/>
    <w:rsid w:val="005D3E95"/>
    <w:rsid w:val="005D548F"/>
    <w:rsid w:val="005D6161"/>
    <w:rsid w:val="005D6EF5"/>
    <w:rsid w:val="005D73B5"/>
    <w:rsid w:val="005E2FCC"/>
    <w:rsid w:val="005E3A10"/>
    <w:rsid w:val="005E465C"/>
    <w:rsid w:val="005E6695"/>
    <w:rsid w:val="005E7509"/>
    <w:rsid w:val="005F00A6"/>
    <w:rsid w:val="005F326E"/>
    <w:rsid w:val="00603BA2"/>
    <w:rsid w:val="006043E1"/>
    <w:rsid w:val="00604F47"/>
    <w:rsid w:val="00607E22"/>
    <w:rsid w:val="006102CA"/>
    <w:rsid w:val="00611FDE"/>
    <w:rsid w:val="00617E74"/>
    <w:rsid w:val="006226AE"/>
    <w:rsid w:val="006246C9"/>
    <w:rsid w:val="00626B92"/>
    <w:rsid w:val="00627E6E"/>
    <w:rsid w:val="00630997"/>
    <w:rsid w:val="006341A2"/>
    <w:rsid w:val="0063568E"/>
    <w:rsid w:val="00636159"/>
    <w:rsid w:val="00636DE4"/>
    <w:rsid w:val="00637ACD"/>
    <w:rsid w:val="006435F2"/>
    <w:rsid w:val="00643710"/>
    <w:rsid w:val="0064401C"/>
    <w:rsid w:val="00645B8B"/>
    <w:rsid w:val="00647599"/>
    <w:rsid w:val="00647CE7"/>
    <w:rsid w:val="00651BFC"/>
    <w:rsid w:val="006530E4"/>
    <w:rsid w:val="00655044"/>
    <w:rsid w:val="0065618F"/>
    <w:rsid w:val="00666922"/>
    <w:rsid w:val="00670F17"/>
    <w:rsid w:val="006710C7"/>
    <w:rsid w:val="00673312"/>
    <w:rsid w:val="006739F8"/>
    <w:rsid w:val="00674E2D"/>
    <w:rsid w:val="00675F21"/>
    <w:rsid w:val="006764E7"/>
    <w:rsid w:val="00677EC3"/>
    <w:rsid w:val="006850E2"/>
    <w:rsid w:val="00685880"/>
    <w:rsid w:val="00687CA0"/>
    <w:rsid w:val="006931B3"/>
    <w:rsid w:val="00693C15"/>
    <w:rsid w:val="00696A83"/>
    <w:rsid w:val="006A27CD"/>
    <w:rsid w:val="006A7FBE"/>
    <w:rsid w:val="006B0184"/>
    <w:rsid w:val="006B1286"/>
    <w:rsid w:val="006B6BC5"/>
    <w:rsid w:val="006B743D"/>
    <w:rsid w:val="006C580A"/>
    <w:rsid w:val="006C5ED7"/>
    <w:rsid w:val="006C5F45"/>
    <w:rsid w:val="006C66B9"/>
    <w:rsid w:val="006D1E69"/>
    <w:rsid w:val="006D376F"/>
    <w:rsid w:val="006D3BD9"/>
    <w:rsid w:val="006D45CF"/>
    <w:rsid w:val="006D67FB"/>
    <w:rsid w:val="006E0C18"/>
    <w:rsid w:val="006E1B96"/>
    <w:rsid w:val="006F057C"/>
    <w:rsid w:val="006F1A4C"/>
    <w:rsid w:val="006F22DA"/>
    <w:rsid w:val="006F2EB3"/>
    <w:rsid w:val="006F4716"/>
    <w:rsid w:val="006F5336"/>
    <w:rsid w:val="006F61E1"/>
    <w:rsid w:val="00703EAC"/>
    <w:rsid w:val="00707EA4"/>
    <w:rsid w:val="00710B9F"/>
    <w:rsid w:val="00710E25"/>
    <w:rsid w:val="007116B1"/>
    <w:rsid w:val="007123C2"/>
    <w:rsid w:val="00712F06"/>
    <w:rsid w:val="00714BEE"/>
    <w:rsid w:val="00716D02"/>
    <w:rsid w:val="00721215"/>
    <w:rsid w:val="0072367F"/>
    <w:rsid w:val="00731047"/>
    <w:rsid w:val="0073378D"/>
    <w:rsid w:val="00735099"/>
    <w:rsid w:val="007372EA"/>
    <w:rsid w:val="007373F9"/>
    <w:rsid w:val="007400CF"/>
    <w:rsid w:val="00740DEC"/>
    <w:rsid w:val="00740E30"/>
    <w:rsid w:val="007518BE"/>
    <w:rsid w:val="007529DD"/>
    <w:rsid w:val="00752C7F"/>
    <w:rsid w:val="00753668"/>
    <w:rsid w:val="00755973"/>
    <w:rsid w:val="00755B7D"/>
    <w:rsid w:val="007566B2"/>
    <w:rsid w:val="0076086B"/>
    <w:rsid w:val="007647E7"/>
    <w:rsid w:val="00764F3C"/>
    <w:rsid w:val="007653AB"/>
    <w:rsid w:val="0078162A"/>
    <w:rsid w:val="00784E3E"/>
    <w:rsid w:val="00790171"/>
    <w:rsid w:val="00791520"/>
    <w:rsid w:val="007935C5"/>
    <w:rsid w:val="007A4934"/>
    <w:rsid w:val="007B23FC"/>
    <w:rsid w:val="007B620A"/>
    <w:rsid w:val="007C0B2B"/>
    <w:rsid w:val="007C0D59"/>
    <w:rsid w:val="007C5702"/>
    <w:rsid w:val="007C5B34"/>
    <w:rsid w:val="007D0C1D"/>
    <w:rsid w:val="007D1576"/>
    <w:rsid w:val="007D163D"/>
    <w:rsid w:val="007D35DB"/>
    <w:rsid w:val="007D3969"/>
    <w:rsid w:val="007D4DBF"/>
    <w:rsid w:val="007D5B49"/>
    <w:rsid w:val="007D7BF5"/>
    <w:rsid w:val="007E0106"/>
    <w:rsid w:val="007E0D21"/>
    <w:rsid w:val="007E1D08"/>
    <w:rsid w:val="007E3E3B"/>
    <w:rsid w:val="007E4732"/>
    <w:rsid w:val="007E4BA4"/>
    <w:rsid w:val="007E5AD0"/>
    <w:rsid w:val="007E7C94"/>
    <w:rsid w:val="007F004E"/>
    <w:rsid w:val="007F2F73"/>
    <w:rsid w:val="007F335A"/>
    <w:rsid w:val="007F366A"/>
    <w:rsid w:val="007F4C91"/>
    <w:rsid w:val="007F5646"/>
    <w:rsid w:val="00800D4F"/>
    <w:rsid w:val="00802315"/>
    <w:rsid w:val="00802D8D"/>
    <w:rsid w:val="00803104"/>
    <w:rsid w:val="008034BB"/>
    <w:rsid w:val="00807F64"/>
    <w:rsid w:val="00811594"/>
    <w:rsid w:val="00812901"/>
    <w:rsid w:val="00816287"/>
    <w:rsid w:val="00820402"/>
    <w:rsid w:val="008215FA"/>
    <w:rsid w:val="00825AC5"/>
    <w:rsid w:val="00826B9A"/>
    <w:rsid w:val="008279B4"/>
    <w:rsid w:val="00834D27"/>
    <w:rsid w:val="00840125"/>
    <w:rsid w:val="00841E9B"/>
    <w:rsid w:val="0084318C"/>
    <w:rsid w:val="00843C4C"/>
    <w:rsid w:val="008442F1"/>
    <w:rsid w:val="0085266D"/>
    <w:rsid w:val="008567F1"/>
    <w:rsid w:val="00866A77"/>
    <w:rsid w:val="008678C5"/>
    <w:rsid w:val="00873B9C"/>
    <w:rsid w:val="00874B59"/>
    <w:rsid w:val="00877B4A"/>
    <w:rsid w:val="0088095B"/>
    <w:rsid w:val="00881C7E"/>
    <w:rsid w:val="00886690"/>
    <w:rsid w:val="00887012"/>
    <w:rsid w:val="0089083B"/>
    <w:rsid w:val="00893345"/>
    <w:rsid w:val="008933D6"/>
    <w:rsid w:val="008936FD"/>
    <w:rsid w:val="00893DE8"/>
    <w:rsid w:val="008940FC"/>
    <w:rsid w:val="008977B2"/>
    <w:rsid w:val="008A3B80"/>
    <w:rsid w:val="008A4702"/>
    <w:rsid w:val="008A5AA0"/>
    <w:rsid w:val="008A5DAA"/>
    <w:rsid w:val="008B07FC"/>
    <w:rsid w:val="008B24F2"/>
    <w:rsid w:val="008B36EC"/>
    <w:rsid w:val="008C1972"/>
    <w:rsid w:val="008C21B1"/>
    <w:rsid w:val="008C2208"/>
    <w:rsid w:val="008C3FC3"/>
    <w:rsid w:val="008C4577"/>
    <w:rsid w:val="008C61DE"/>
    <w:rsid w:val="008D011A"/>
    <w:rsid w:val="008D13D7"/>
    <w:rsid w:val="008D6269"/>
    <w:rsid w:val="008D7EB3"/>
    <w:rsid w:val="008E08C6"/>
    <w:rsid w:val="008E224D"/>
    <w:rsid w:val="008E38BD"/>
    <w:rsid w:val="008E4212"/>
    <w:rsid w:val="008E6E10"/>
    <w:rsid w:val="008F243E"/>
    <w:rsid w:val="008F35E7"/>
    <w:rsid w:val="009069BE"/>
    <w:rsid w:val="009070EE"/>
    <w:rsid w:val="00913D8A"/>
    <w:rsid w:val="00916452"/>
    <w:rsid w:val="00921BA3"/>
    <w:rsid w:val="0092530B"/>
    <w:rsid w:val="00933B50"/>
    <w:rsid w:val="009340D2"/>
    <w:rsid w:val="009373FE"/>
    <w:rsid w:val="0093765C"/>
    <w:rsid w:val="0094208C"/>
    <w:rsid w:val="00942F17"/>
    <w:rsid w:val="00946E64"/>
    <w:rsid w:val="009472C5"/>
    <w:rsid w:val="0095258F"/>
    <w:rsid w:val="009528E2"/>
    <w:rsid w:val="00952CEF"/>
    <w:rsid w:val="00954439"/>
    <w:rsid w:val="00955421"/>
    <w:rsid w:val="009676A0"/>
    <w:rsid w:val="009705D3"/>
    <w:rsid w:val="00975ADB"/>
    <w:rsid w:val="009776C7"/>
    <w:rsid w:val="00981E9A"/>
    <w:rsid w:val="00981F8F"/>
    <w:rsid w:val="00983E4B"/>
    <w:rsid w:val="00986336"/>
    <w:rsid w:val="00990E9C"/>
    <w:rsid w:val="00990FE6"/>
    <w:rsid w:val="00993308"/>
    <w:rsid w:val="00994542"/>
    <w:rsid w:val="00994908"/>
    <w:rsid w:val="00997C6D"/>
    <w:rsid w:val="009A07AE"/>
    <w:rsid w:val="009A3E20"/>
    <w:rsid w:val="009A46D1"/>
    <w:rsid w:val="009B160B"/>
    <w:rsid w:val="009B2C8F"/>
    <w:rsid w:val="009B44E2"/>
    <w:rsid w:val="009B67AB"/>
    <w:rsid w:val="009C237B"/>
    <w:rsid w:val="009C246D"/>
    <w:rsid w:val="009C6BE6"/>
    <w:rsid w:val="009C6E7F"/>
    <w:rsid w:val="009D12F4"/>
    <w:rsid w:val="009D5DEA"/>
    <w:rsid w:val="009D69C5"/>
    <w:rsid w:val="009E2D95"/>
    <w:rsid w:val="009E2F07"/>
    <w:rsid w:val="009E4439"/>
    <w:rsid w:val="009E4B36"/>
    <w:rsid w:val="009E4D80"/>
    <w:rsid w:val="009E5A93"/>
    <w:rsid w:val="009E6B37"/>
    <w:rsid w:val="009F0434"/>
    <w:rsid w:val="009F07ED"/>
    <w:rsid w:val="009F1366"/>
    <w:rsid w:val="00A00866"/>
    <w:rsid w:val="00A00997"/>
    <w:rsid w:val="00A05F92"/>
    <w:rsid w:val="00A10B01"/>
    <w:rsid w:val="00A11E56"/>
    <w:rsid w:val="00A14195"/>
    <w:rsid w:val="00A16FB7"/>
    <w:rsid w:val="00A20113"/>
    <w:rsid w:val="00A20D78"/>
    <w:rsid w:val="00A2107D"/>
    <w:rsid w:val="00A2215F"/>
    <w:rsid w:val="00A22839"/>
    <w:rsid w:val="00A236E6"/>
    <w:rsid w:val="00A23AAF"/>
    <w:rsid w:val="00A23E19"/>
    <w:rsid w:val="00A24DCF"/>
    <w:rsid w:val="00A25CEF"/>
    <w:rsid w:val="00A26DD6"/>
    <w:rsid w:val="00A278A7"/>
    <w:rsid w:val="00A278D3"/>
    <w:rsid w:val="00A279BE"/>
    <w:rsid w:val="00A31B66"/>
    <w:rsid w:val="00A33185"/>
    <w:rsid w:val="00A34A58"/>
    <w:rsid w:val="00A4003C"/>
    <w:rsid w:val="00A4186E"/>
    <w:rsid w:val="00A41BD4"/>
    <w:rsid w:val="00A459E1"/>
    <w:rsid w:val="00A50427"/>
    <w:rsid w:val="00A50AEE"/>
    <w:rsid w:val="00A515CA"/>
    <w:rsid w:val="00A52DBD"/>
    <w:rsid w:val="00A53B04"/>
    <w:rsid w:val="00A53EAA"/>
    <w:rsid w:val="00A61A8D"/>
    <w:rsid w:val="00A61CC6"/>
    <w:rsid w:val="00A64B08"/>
    <w:rsid w:val="00A658B5"/>
    <w:rsid w:val="00A661F4"/>
    <w:rsid w:val="00A71395"/>
    <w:rsid w:val="00A7271A"/>
    <w:rsid w:val="00A73835"/>
    <w:rsid w:val="00A80770"/>
    <w:rsid w:val="00A81783"/>
    <w:rsid w:val="00A81E19"/>
    <w:rsid w:val="00A86A8F"/>
    <w:rsid w:val="00A91C08"/>
    <w:rsid w:val="00A9429E"/>
    <w:rsid w:val="00A953C2"/>
    <w:rsid w:val="00AA0C0C"/>
    <w:rsid w:val="00AA18FC"/>
    <w:rsid w:val="00AA41E5"/>
    <w:rsid w:val="00AA6AFE"/>
    <w:rsid w:val="00AB2633"/>
    <w:rsid w:val="00AB26B8"/>
    <w:rsid w:val="00AB795F"/>
    <w:rsid w:val="00AC2437"/>
    <w:rsid w:val="00AC6312"/>
    <w:rsid w:val="00AC7026"/>
    <w:rsid w:val="00AD0402"/>
    <w:rsid w:val="00AD3803"/>
    <w:rsid w:val="00AD589E"/>
    <w:rsid w:val="00AD6D80"/>
    <w:rsid w:val="00AE7946"/>
    <w:rsid w:val="00AF1041"/>
    <w:rsid w:val="00AF32BF"/>
    <w:rsid w:val="00AF66F2"/>
    <w:rsid w:val="00AF6B78"/>
    <w:rsid w:val="00AF770A"/>
    <w:rsid w:val="00B02D20"/>
    <w:rsid w:val="00B06E89"/>
    <w:rsid w:val="00B1044F"/>
    <w:rsid w:val="00B1160D"/>
    <w:rsid w:val="00B11849"/>
    <w:rsid w:val="00B1555A"/>
    <w:rsid w:val="00B159A3"/>
    <w:rsid w:val="00B1638D"/>
    <w:rsid w:val="00B17307"/>
    <w:rsid w:val="00B17840"/>
    <w:rsid w:val="00B21677"/>
    <w:rsid w:val="00B26A3A"/>
    <w:rsid w:val="00B27CB1"/>
    <w:rsid w:val="00B329CE"/>
    <w:rsid w:val="00B33BFF"/>
    <w:rsid w:val="00B40346"/>
    <w:rsid w:val="00B40888"/>
    <w:rsid w:val="00B4240B"/>
    <w:rsid w:val="00B42BF2"/>
    <w:rsid w:val="00B4366D"/>
    <w:rsid w:val="00B444E6"/>
    <w:rsid w:val="00B466D9"/>
    <w:rsid w:val="00B51D00"/>
    <w:rsid w:val="00B52011"/>
    <w:rsid w:val="00B52BE4"/>
    <w:rsid w:val="00B53EFF"/>
    <w:rsid w:val="00B54AFA"/>
    <w:rsid w:val="00B54B72"/>
    <w:rsid w:val="00B57571"/>
    <w:rsid w:val="00B671A4"/>
    <w:rsid w:val="00B7003E"/>
    <w:rsid w:val="00B707E0"/>
    <w:rsid w:val="00B75D7A"/>
    <w:rsid w:val="00B763F3"/>
    <w:rsid w:val="00B7777C"/>
    <w:rsid w:val="00B77CFB"/>
    <w:rsid w:val="00B804E8"/>
    <w:rsid w:val="00B846B4"/>
    <w:rsid w:val="00B937A0"/>
    <w:rsid w:val="00BA40AA"/>
    <w:rsid w:val="00BA7833"/>
    <w:rsid w:val="00BB25A7"/>
    <w:rsid w:val="00BB687F"/>
    <w:rsid w:val="00BC0021"/>
    <w:rsid w:val="00BC0E21"/>
    <w:rsid w:val="00BC206C"/>
    <w:rsid w:val="00BC431A"/>
    <w:rsid w:val="00BC4CBB"/>
    <w:rsid w:val="00BC6EAB"/>
    <w:rsid w:val="00BC74D1"/>
    <w:rsid w:val="00BC77DF"/>
    <w:rsid w:val="00BD3890"/>
    <w:rsid w:val="00BD5A5F"/>
    <w:rsid w:val="00BD6CCD"/>
    <w:rsid w:val="00BD6DD8"/>
    <w:rsid w:val="00BE07A4"/>
    <w:rsid w:val="00BE1EE9"/>
    <w:rsid w:val="00BE265E"/>
    <w:rsid w:val="00BE351E"/>
    <w:rsid w:val="00BE375D"/>
    <w:rsid w:val="00BE38F8"/>
    <w:rsid w:val="00BE4B31"/>
    <w:rsid w:val="00BE5E6A"/>
    <w:rsid w:val="00BF728D"/>
    <w:rsid w:val="00C018C0"/>
    <w:rsid w:val="00C01A35"/>
    <w:rsid w:val="00C03772"/>
    <w:rsid w:val="00C039E9"/>
    <w:rsid w:val="00C04EDA"/>
    <w:rsid w:val="00C119A2"/>
    <w:rsid w:val="00C20774"/>
    <w:rsid w:val="00C21D7E"/>
    <w:rsid w:val="00C236B9"/>
    <w:rsid w:val="00C23F1B"/>
    <w:rsid w:val="00C26989"/>
    <w:rsid w:val="00C407B8"/>
    <w:rsid w:val="00C43D14"/>
    <w:rsid w:val="00C462A0"/>
    <w:rsid w:val="00C465C8"/>
    <w:rsid w:val="00C50B71"/>
    <w:rsid w:val="00C533B7"/>
    <w:rsid w:val="00C57267"/>
    <w:rsid w:val="00C57DF6"/>
    <w:rsid w:val="00C602B3"/>
    <w:rsid w:val="00C62B63"/>
    <w:rsid w:val="00C65092"/>
    <w:rsid w:val="00C72B5B"/>
    <w:rsid w:val="00C76138"/>
    <w:rsid w:val="00C810A7"/>
    <w:rsid w:val="00C81C10"/>
    <w:rsid w:val="00C828DD"/>
    <w:rsid w:val="00C848AF"/>
    <w:rsid w:val="00C9093E"/>
    <w:rsid w:val="00C91150"/>
    <w:rsid w:val="00C91ADC"/>
    <w:rsid w:val="00C93E9C"/>
    <w:rsid w:val="00C942DB"/>
    <w:rsid w:val="00C942E1"/>
    <w:rsid w:val="00C9462C"/>
    <w:rsid w:val="00C94F64"/>
    <w:rsid w:val="00CA0075"/>
    <w:rsid w:val="00CA29A7"/>
    <w:rsid w:val="00CA2FF3"/>
    <w:rsid w:val="00CA4E29"/>
    <w:rsid w:val="00CA79C7"/>
    <w:rsid w:val="00CB10BA"/>
    <w:rsid w:val="00CB1CAF"/>
    <w:rsid w:val="00CB64A4"/>
    <w:rsid w:val="00CB6DCF"/>
    <w:rsid w:val="00CB7A10"/>
    <w:rsid w:val="00CC0500"/>
    <w:rsid w:val="00CC258C"/>
    <w:rsid w:val="00CC2797"/>
    <w:rsid w:val="00CC3C22"/>
    <w:rsid w:val="00CC4FF6"/>
    <w:rsid w:val="00CD062E"/>
    <w:rsid w:val="00CD1000"/>
    <w:rsid w:val="00CD2E63"/>
    <w:rsid w:val="00CD5A9C"/>
    <w:rsid w:val="00CD5DB3"/>
    <w:rsid w:val="00CD7D5D"/>
    <w:rsid w:val="00CE48E2"/>
    <w:rsid w:val="00CE6018"/>
    <w:rsid w:val="00CE6A9E"/>
    <w:rsid w:val="00CF0FC4"/>
    <w:rsid w:val="00CF150C"/>
    <w:rsid w:val="00CF1706"/>
    <w:rsid w:val="00CF1BCF"/>
    <w:rsid w:val="00CF1E61"/>
    <w:rsid w:val="00CF3D7F"/>
    <w:rsid w:val="00CF3F95"/>
    <w:rsid w:val="00CF48EF"/>
    <w:rsid w:val="00CF57A0"/>
    <w:rsid w:val="00CF613A"/>
    <w:rsid w:val="00CF6932"/>
    <w:rsid w:val="00D01FE3"/>
    <w:rsid w:val="00D03B59"/>
    <w:rsid w:val="00D045F7"/>
    <w:rsid w:val="00D06CA3"/>
    <w:rsid w:val="00D06D92"/>
    <w:rsid w:val="00D07F46"/>
    <w:rsid w:val="00D122E9"/>
    <w:rsid w:val="00D1552E"/>
    <w:rsid w:val="00D170E5"/>
    <w:rsid w:val="00D17E16"/>
    <w:rsid w:val="00D21155"/>
    <w:rsid w:val="00D21E08"/>
    <w:rsid w:val="00D2340B"/>
    <w:rsid w:val="00D2502D"/>
    <w:rsid w:val="00D259AF"/>
    <w:rsid w:val="00D2600C"/>
    <w:rsid w:val="00D3271A"/>
    <w:rsid w:val="00D33134"/>
    <w:rsid w:val="00D34688"/>
    <w:rsid w:val="00D37F2F"/>
    <w:rsid w:val="00D415B9"/>
    <w:rsid w:val="00D47C3D"/>
    <w:rsid w:val="00D528E8"/>
    <w:rsid w:val="00D53FAC"/>
    <w:rsid w:val="00D57546"/>
    <w:rsid w:val="00D644A2"/>
    <w:rsid w:val="00D66382"/>
    <w:rsid w:val="00D6698C"/>
    <w:rsid w:val="00D66DDB"/>
    <w:rsid w:val="00D66F77"/>
    <w:rsid w:val="00D67CC6"/>
    <w:rsid w:val="00D71E08"/>
    <w:rsid w:val="00D71F7F"/>
    <w:rsid w:val="00D72262"/>
    <w:rsid w:val="00D73F3D"/>
    <w:rsid w:val="00D741BF"/>
    <w:rsid w:val="00D7661F"/>
    <w:rsid w:val="00D771D0"/>
    <w:rsid w:val="00D772A3"/>
    <w:rsid w:val="00D8205D"/>
    <w:rsid w:val="00D82074"/>
    <w:rsid w:val="00D835CF"/>
    <w:rsid w:val="00D84D5B"/>
    <w:rsid w:val="00D86FEB"/>
    <w:rsid w:val="00D9149A"/>
    <w:rsid w:val="00D94AAF"/>
    <w:rsid w:val="00D967D0"/>
    <w:rsid w:val="00DA26FB"/>
    <w:rsid w:val="00DA3966"/>
    <w:rsid w:val="00DA4780"/>
    <w:rsid w:val="00DA5290"/>
    <w:rsid w:val="00DA7295"/>
    <w:rsid w:val="00DB0EA3"/>
    <w:rsid w:val="00DB4768"/>
    <w:rsid w:val="00DB648D"/>
    <w:rsid w:val="00DB6C3D"/>
    <w:rsid w:val="00DC5ACF"/>
    <w:rsid w:val="00DC6DC1"/>
    <w:rsid w:val="00DC7E71"/>
    <w:rsid w:val="00DC7E7A"/>
    <w:rsid w:val="00DD1B86"/>
    <w:rsid w:val="00DD6920"/>
    <w:rsid w:val="00DD7468"/>
    <w:rsid w:val="00DE07EE"/>
    <w:rsid w:val="00DE25E9"/>
    <w:rsid w:val="00DE31A8"/>
    <w:rsid w:val="00DE3D5E"/>
    <w:rsid w:val="00DE67B7"/>
    <w:rsid w:val="00DE71D3"/>
    <w:rsid w:val="00DE72CF"/>
    <w:rsid w:val="00DE7C00"/>
    <w:rsid w:val="00DF08A0"/>
    <w:rsid w:val="00DF2339"/>
    <w:rsid w:val="00DF5888"/>
    <w:rsid w:val="00DF79D9"/>
    <w:rsid w:val="00E1049C"/>
    <w:rsid w:val="00E10B6E"/>
    <w:rsid w:val="00E12917"/>
    <w:rsid w:val="00E21162"/>
    <w:rsid w:val="00E2383F"/>
    <w:rsid w:val="00E248C9"/>
    <w:rsid w:val="00E269CF"/>
    <w:rsid w:val="00E27D27"/>
    <w:rsid w:val="00E31841"/>
    <w:rsid w:val="00E3576C"/>
    <w:rsid w:val="00E36BBB"/>
    <w:rsid w:val="00E4062A"/>
    <w:rsid w:val="00E433A1"/>
    <w:rsid w:val="00E43B5D"/>
    <w:rsid w:val="00E453EA"/>
    <w:rsid w:val="00E52FAF"/>
    <w:rsid w:val="00E54B87"/>
    <w:rsid w:val="00E56319"/>
    <w:rsid w:val="00E62729"/>
    <w:rsid w:val="00E62B23"/>
    <w:rsid w:val="00E666AE"/>
    <w:rsid w:val="00E66A2A"/>
    <w:rsid w:val="00E70760"/>
    <w:rsid w:val="00E71B40"/>
    <w:rsid w:val="00E72C93"/>
    <w:rsid w:val="00E73F6F"/>
    <w:rsid w:val="00E8183F"/>
    <w:rsid w:val="00E84A9B"/>
    <w:rsid w:val="00E85725"/>
    <w:rsid w:val="00E91780"/>
    <w:rsid w:val="00E91B67"/>
    <w:rsid w:val="00E9253C"/>
    <w:rsid w:val="00E93525"/>
    <w:rsid w:val="00E938FE"/>
    <w:rsid w:val="00EA1F45"/>
    <w:rsid w:val="00EA354E"/>
    <w:rsid w:val="00EB03DF"/>
    <w:rsid w:val="00EB3E04"/>
    <w:rsid w:val="00EB45B5"/>
    <w:rsid w:val="00EB4B9A"/>
    <w:rsid w:val="00EB5B15"/>
    <w:rsid w:val="00EB5C02"/>
    <w:rsid w:val="00EB5E57"/>
    <w:rsid w:val="00EB61DB"/>
    <w:rsid w:val="00EB6676"/>
    <w:rsid w:val="00EB6E89"/>
    <w:rsid w:val="00EB7100"/>
    <w:rsid w:val="00EC1B92"/>
    <w:rsid w:val="00EC28FD"/>
    <w:rsid w:val="00EC3315"/>
    <w:rsid w:val="00EC34D1"/>
    <w:rsid w:val="00ED4AFD"/>
    <w:rsid w:val="00ED7104"/>
    <w:rsid w:val="00EE4FBE"/>
    <w:rsid w:val="00EE6B36"/>
    <w:rsid w:val="00EE700E"/>
    <w:rsid w:val="00EF3138"/>
    <w:rsid w:val="00EF32D2"/>
    <w:rsid w:val="00EF402C"/>
    <w:rsid w:val="00EF5B8A"/>
    <w:rsid w:val="00EF6299"/>
    <w:rsid w:val="00F013AA"/>
    <w:rsid w:val="00F03A0E"/>
    <w:rsid w:val="00F074A5"/>
    <w:rsid w:val="00F0768B"/>
    <w:rsid w:val="00F12AC4"/>
    <w:rsid w:val="00F15BBF"/>
    <w:rsid w:val="00F1673A"/>
    <w:rsid w:val="00F16975"/>
    <w:rsid w:val="00F17392"/>
    <w:rsid w:val="00F27D40"/>
    <w:rsid w:val="00F3141F"/>
    <w:rsid w:val="00F32168"/>
    <w:rsid w:val="00F34D3C"/>
    <w:rsid w:val="00F370E5"/>
    <w:rsid w:val="00F42644"/>
    <w:rsid w:val="00F47473"/>
    <w:rsid w:val="00F475B4"/>
    <w:rsid w:val="00F505C5"/>
    <w:rsid w:val="00F52BF3"/>
    <w:rsid w:val="00F548CD"/>
    <w:rsid w:val="00F5649A"/>
    <w:rsid w:val="00F608F4"/>
    <w:rsid w:val="00F60D76"/>
    <w:rsid w:val="00F616AD"/>
    <w:rsid w:val="00F641A4"/>
    <w:rsid w:val="00F65F9C"/>
    <w:rsid w:val="00F67DC5"/>
    <w:rsid w:val="00F731D6"/>
    <w:rsid w:val="00F771E5"/>
    <w:rsid w:val="00F7788F"/>
    <w:rsid w:val="00F77EFC"/>
    <w:rsid w:val="00F8195A"/>
    <w:rsid w:val="00F82342"/>
    <w:rsid w:val="00F82419"/>
    <w:rsid w:val="00F8462D"/>
    <w:rsid w:val="00F86520"/>
    <w:rsid w:val="00F877DB"/>
    <w:rsid w:val="00F90841"/>
    <w:rsid w:val="00F91AE4"/>
    <w:rsid w:val="00F93C8B"/>
    <w:rsid w:val="00F9538D"/>
    <w:rsid w:val="00F959DD"/>
    <w:rsid w:val="00F960D5"/>
    <w:rsid w:val="00F979D0"/>
    <w:rsid w:val="00FA0EB4"/>
    <w:rsid w:val="00FA1F70"/>
    <w:rsid w:val="00FA24F2"/>
    <w:rsid w:val="00FA4BF4"/>
    <w:rsid w:val="00FA6B7F"/>
    <w:rsid w:val="00FA6E12"/>
    <w:rsid w:val="00FA7084"/>
    <w:rsid w:val="00FB1231"/>
    <w:rsid w:val="00FB18AF"/>
    <w:rsid w:val="00FC1517"/>
    <w:rsid w:val="00FC1655"/>
    <w:rsid w:val="00FC1C5C"/>
    <w:rsid w:val="00FC54F5"/>
    <w:rsid w:val="00FC5665"/>
    <w:rsid w:val="00FD03D6"/>
    <w:rsid w:val="00FD5475"/>
    <w:rsid w:val="00FD5FAB"/>
    <w:rsid w:val="00FD62FD"/>
    <w:rsid w:val="00FD7AED"/>
    <w:rsid w:val="00FE17E2"/>
    <w:rsid w:val="00FE18D3"/>
    <w:rsid w:val="00FE1CBA"/>
    <w:rsid w:val="00FE2A9D"/>
    <w:rsid w:val="00FE602E"/>
    <w:rsid w:val="00FE6046"/>
    <w:rsid w:val="00FF069A"/>
    <w:rsid w:val="00FF228C"/>
    <w:rsid w:val="00FF6B4D"/>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02"/>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locked/>
    <w:rsid w:val="006931B3"/>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02"/>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locked/>
    <w:rsid w:val="006931B3"/>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22706389">
      <w:bodyDiv w:val="1"/>
      <w:marLeft w:val="0"/>
      <w:marRight w:val="0"/>
      <w:marTop w:val="0"/>
      <w:marBottom w:val="0"/>
      <w:divBdr>
        <w:top w:val="none" w:sz="0" w:space="0" w:color="auto"/>
        <w:left w:val="none" w:sz="0" w:space="0" w:color="auto"/>
        <w:bottom w:val="none" w:sz="0" w:space="0" w:color="auto"/>
        <w:right w:val="none" w:sz="0" w:space="0" w:color="auto"/>
      </w:divBdr>
    </w:div>
    <w:div w:id="95365720">
      <w:bodyDiv w:val="1"/>
      <w:marLeft w:val="0"/>
      <w:marRight w:val="0"/>
      <w:marTop w:val="0"/>
      <w:marBottom w:val="0"/>
      <w:divBdr>
        <w:top w:val="none" w:sz="0" w:space="0" w:color="auto"/>
        <w:left w:val="none" w:sz="0" w:space="0" w:color="auto"/>
        <w:bottom w:val="none" w:sz="0" w:space="0" w:color="auto"/>
        <w:right w:val="none" w:sz="0" w:space="0" w:color="auto"/>
      </w:divBdr>
    </w:div>
    <w:div w:id="12609602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56521962">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10719206">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0282824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793918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253473466">
      <w:bodyDiv w:val="1"/>
      <w:marLeft w:val="0"/>
      <w:marRight w:val="0"/>
      <w:marTop w:val="0"/>
      <w:marBottom w:val="0"/>
      <w:divBdr>
        <w:top w:val="none" w:sz="0" w:space="0" w:color="auto"/>
        <w:left w:val="none" w:sz="0" w:space="0" w:color="auto"/>
        <w:bottom w:val="none" w:sz="0" w:space="0" w:color="auto"/>
        <w:right w:val="none" w:sz="0" w:space="0" w:color="auto"/>
      </w:divBdr>
    </w:div>
    <w:div w:id="1525557205">
      <w:bodyDiv w:val="1"/>
      <w:marLeft w:val="0"/>
      <w:marRight w:val="0"/>
      <w:marTop w:val="0"/>
      <w:marBottom w:val="0"/>
      <w:divBdr>
        <w:top w:val="none" w:sz="0" w:space="0" w:color="auto"/>
        <w:left w:val="none" w:sz="0" w:space="0" w:color="auto"/>
        <w:bottom w:val="none" w:sz="0" w:space="0" w:color="auto"/>
        <w:right w:val="none" w:sz="0" w:space="0" w:color="auto"/>
      </w:divBdr>
    </w:div>
    <w:div w:id="1600141332">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970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6</Financial_x0020_Peri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12" PreviousValue="true"/>
</file>

<file path=customXml/item5.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www.w3.org/XML/1998/namespace"/>
    <ds:schemaRef ds:uri="http://schemas.microsoft.com/office/infopath/2007/PartnerControls"/>
    <ds:schemaRef ds:uri="http://schemas.microsoft.com/office/2006/documentManagement/types"/>
    <ds:schemaRef ds:uri="e48e9339-ef40-4192-ab59-a15ba5582753"/>
    <ds:schemaRef ds:uri="21034249-a417-400c-94ae-292fd978b91a"/>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5.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4C4620-1BEA-43DE-BA79-1BAFFD34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8258</Words>
  <Characters>43299</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51455</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mwearing</cp:lastModifiedBy>
  <cp:revision>3</cp:revision>
  <cp:lastPrinted>2019-11-14T16:38:00Z</cp:lastPrinted>
  <dcterms:created xsi:type="dcterms:W3CDTF">2019-12-20T10:54:00Z</dcterms:created>
  <dcterms:modified xsi:type="dcterms:W3CDTF">2019-12-23T10:12:00Z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